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936B2">
      <w:pPr>
        <w:pStyle w:val="15"/>
        <w:widowControl/>
        <w:rPr>
          <w:sz w:val="44"/>
          <w:szCs w:val="44"/>
          <w:u w:val="none"/>
        </w:rPr>
      </w:pPr>
      <w:bookmarkStart w:id="0" w:name="_GoBack"/>
      <w:r>
        <w:rPr>
          <w:sz w:val="44"/>
          <w:szCs w:val="44"/>
          <w:u w:val="none"/>
        </w:rPr>
        <w:t>中医特色门诊设计及全过程造价咨询采购需求</w:t>
      </w:r>
    </w:p>
    <w:bookmarkEnd w:id="0"/>
    <w:p w14:paraId="6D183DF8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39040FB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项目概况</w:t>
      </w:r>
    </w:p>
    <w:p w14:paraId="1DBBE0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本项目为144㎡中医特色门诊改造咨询服务，将原有7间零散房间整合优化，打造标准化国风中医诊疗空间，包含推拿艾灸室、熏蒸室、足浴室、专家工作室、针灸美容室、治未病室、中医长廊等功能区域，满足诊疗隐私、隔音降噪、院感防控、消防合规等使用要求。</w:t>
      </w:r>
    </w:p>
    <w:p w14:paraId="548AD7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本次采购为</w:t>
      </w:r>
      <w:r>
        <w:rPr>
          <w:rStyle w:val="160"/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全过程设计、程造价咨询服务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，涵盖现场勘测、方案及施工图设计、造价编制、施工全周期技术与造价配合、竣工配合等全部咨询工作；不含工程施工、设备采购安装、实体质保等工程内容。服务周期覆盖项目勘测至竣工验收全程，需全程配合施工、监理单位落地实施。</w:t>
      </w:r>
    </w:p>
    <w:p w14:paraId="1DB545EA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服务采购范围</w:t>
      </w:r>
    </w:p>
    <w:p w14:paraId="6902989D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现场勘测与规划服务</w:t>
      </w:r>
    </w:p>
    <w:p w14:paraId="75EB5D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服务商实地勘测场地结构、墙体、水电、管线、消防、通风排烟等现状，结合医疗规范及诊疗需求，完成功能分区、动线优化、拆改安全评估，出具勘测报告及布局规划方案，作为设计、造价编制依据。</w:t>
      </w:r>
    </w:p>
    <w:p w14:paraId="5719C617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中医门诊设计服务</w:t>
      </w:r>
    </w:p>
    <w:p w14:paraId="12F1B8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按新中式国风风格及医疗、消防、院感、排烟通风规范，完成全区域专项设计，全程配合报审、答疑、图纸优化，确保方案合规、可施工、适配临床使用。重点完成各诊疗室功能布局、水电给排水、遮光消毒、储物收纳设计；艾灸、熏蒸室专项排烟、防潮排风设计；中医长廊造型、文化展示、候诊区及标识系统设计。</w:t>
      </w:r>
    </w:p>
    <w:p w14:paraId="712850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交付成果：平面布局图、效果图、全套专业施工图、设计说明、专项优化方案、材料及设备参数清单、可编辑CAD源文件及全套电子、纸质成果，设计知识产权归甲方所有。</w:t>
      </w:r>
    </w:p>
    <w:p w14:paraId="40C0107A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全过程造价咨询服务</w:t>
      </w:r>
    </w:p>
    <w:p w14:paraId="2B12A8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依托定稿图纸，严格控制40万元改造预算红线，完成工程量清单、预算编制及费用拆解、造价校核优化。全程负责施工阶段清单答疑、变更测算、签证核算、竣工结算核对，配合甲方完成造价审核及优化调整。</w:t>
      </w:r>
    </w:p>
    <w:p w14:paraId="0A899BA0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施工全过程配套服务</w:t>
      </w:r>
    </w:p>
    <w:p w14:paraId="49A68F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本内容包含在报价范围内，服务商须全程对接施工及监理单位，直至项目竣工验收：开展开工图纸会审、现场技术交底；施工期间及时答疑、现场踏勘、图纸微调；配合材料设备样板确认、工艺指导；负责变更洽商图纸更新及造价测算；配合隐蔽工程、分项工程及整体竣工验收。</w:t>
      </w:r>
    </w:p>
    <w:p w14:paraId="53C5BB6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服务商资质及人员要求</w:t>
      </w:r>
    </w:p>
    <w:p w14:paraId="4283E1BE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16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</w:rPr>
      </w:pPr>
      <w:r>
        <w:rPr>
          <w:rStyle w:val="178"/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</w:t>
      </w:r>
      <w:r>
        <w:rPr>
          <w:rStyle w:val="178"/>
          <w:rFonts w:hint="eastAsia" w:ascii="仿宋" w:hAnsi="仿宋" w:eastAsia="仿宋" w:cs="仿宋"/>
          <w:b w:val="0"/>
          <w:bCs w:val="0"/>
          <w:sz w:val="30"/>
          <w:szCs w:val="30"/>
        </w:rPr>
        <w:t>独立法人，双资质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：装饰设计乙级以上、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装饰装修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专业承包二级以上。</w:t>
      </w:r>
    </w:p>
    <w:p w14:paraId="191C7D1D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16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</w:rPr>
      </w:pPr>
      <w:r>
        <w:rPr>
          <w:rStyle w:val="178"/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</w:t>
      </w:r>
      <w:r>
        <w:rPr>
          <w:rStyle w:val="178"/>
          <w:rFonts w:hint="eastAsia" w:ascii="仿宋" w:hAnsi="仿宋" w:eastAsia="仿宋" w:cs="仿宋"/>
          <w:b w:val="0"/>
          <w:bCs w:val="0"/>
          <w:sz w:val="30"/>
          <w:szCs w:val="30"/>
        </w:rPr>
        <w:t>配齐持证人员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：中级项目／设计负责人、注册造价师、持证施工建造师。</w:t>
      </w:r>
    </w:p>
    <w:p w14:paraId="2F455E55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16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</w:rPr>
      </w:pPr>
      <w:r>
        <w:rPr>
          <w:rStyle w:val="178"/>
          <w:rFonts w:hint="eastAsia" w:ascii="仿宋" w:hAnsi="仿宋" w:eastAsia="仿宋" w:cs="仿宋"/>
          <w:sz w:val="30"/>
          <w:szCs w:val="30"/>
          <w:lang w:val="en-US" w:eastAsia="zh-CN"/>
        </w:rPr>
        <w:t>3.</w:t>
      </w:r>
      <w:r>
        <w:rPr>
          <w:rStyle w:val="178"/>
          <w:rFonts w:hint="eastAsia" w:ascii="仿宋" w:hAnsi="仿宋" w:eastAsia="仿宋" w:cs="仿宋"/>
          <w:sz w:val="30"/>
          <w:szCs w:val="30"/>
        </w:rPr>
        <w:t>近3年有中医门诊／医院改造业绩，无失信、安全质量事故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。</w:t>
      </w:r>
    </w:p>
    <w:p w14:paraId="0BDF68FD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16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</w:rPr>
      </w:pPr>
      <w:r>
        <w:rPr>
          <w:rStyle w:val="178"/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4.</w:t>
      </w:r>
      <w:r>
        <w:rPr>
          <w:rStyle w:val="178"/>
          <w:rFonts w:hint="eastAsia" w:ascii="仿宋" w:hAnsi="仿宋" w:eastAsia="仿宋" w:cs="仿宋"/>
          <w:b w:val="0"/>
          <w:bCs w:val="0"/>
          <w:sz w:val="30"/>
          <w:szCs w:val="30"/>
        </w:rPr>
        <w:t>不接受联合体，严禁转包分包挂靠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</w:rPr>
        <w:t>。</w:t>
      </w:r>
    </w:p>
    <w:p w14:paraId="6FC65158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服务实施及交付标准</w:t>
      </w:r>
    </w:p>
    <w:p w14:paraId="494CF3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1. 交付节点：先行提交场地勘测报告、平面布局方案及整体效果图；方案确认后，交付全套施工图、工程量清单、预算文件等完整成果。</w:t>
      </w:r>
    </w:p>
    <w:p w14:paraId="4A085B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2. 合规标准：所有设计成果须符合建筑装饰、医疗院感、消防、通风排烟等国家现行规范，满足诊室隔音隐私、艾灸熏蒸排烟防潮、医疗用电安全、消防疏散等专项硬性要求。</w:t>
      </w:r>
    </w:p>
    <w:p w14:paraId="70BF63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3. 全程配合：服务商须全程配合方案报审、图纸审核、答疑优化及项目施工、竣工落地工作，直至所有成果审核通过。</w:t>
      </w:r>
    </w:p>
    <w:p w14:paraId="07EDF9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4. 质量管控：设计、造价成果须完整规范、无缺项错漏，因成果问题产生的修改工作，由服务商无偿限时整改。</w:t>
      </w:r>
    </w:p>
    <w:p w14:paraId="15EFB91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服务费用及报价说明</w:t>
      </w:r>
    </w:p>
    <w:p w14:paraId="6E667662"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限价标准说明</w:t>
      </w:r>
    </w:p>
    <w:p w14:paraId="772F7A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本项目采用</w:t>
      </w:r>
      <w:r>
        <w:rPr>
          <w:rStyle w:val="160"/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分项限价+总价最高限价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模式，投标人分项报价、总报价均不得超限价，超限价视为无效报价。报价为含税全包价，包含全部服务内容及税费，无隐形费用。</w:t>
      </w:r>
    </w:p>
    <w:p w14:paraId="3FADAD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1. 场地勘察测绘服务费：最高限价5000元</w:t>
      </w:r>
    </w:p>
    <w:p w14:paraId="6CFC8A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2. 门诊专项设计服务费：最高限价25000元</w:t>
      </w:r>
    </w:p>
    <w:p w14:paraId="30C239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3. 全过程造价咨询及施工配合费：最高限价13000元</w:t>
      </w:r>
    </w:p>
    <w:p w14:paraId="7D6318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Style w:val="160"/>
          <w:rFonts w:hint="eastAsia" w:ascii="仿宋" w:hAnsi="仿宋" w:eastAsia="仿宋" w:cs="仿宋"/>
          <w:kern w:val="0"/>
          <w:sz w:val="30"/>
          <w:szCs w:val="30"/>
          <w:lang w:val="en-US" w:eastAsia="zh-CN" w:bidi="ar"/>
        </w:rPr>
        <w:t>项目总服务最高限价：43000元</w:t>
      </w:r>
    </w:p>
    <w:p w14:paraId="67312955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履约、考核及付款方式</w:t>
      </w:r>
    </w:p>
    <w:p w14:paraId="72B10FFE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履约要求</w:t>
      </w:r>
    </w:p>
    <w:p w14:paraId="74534B6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服务商须按节点准时交付成果，及时响应施工对接及整改需求；成果存在重大错漏、逾期交付、配合不到位的，甲方有权扣除相应服务费并要求无偿整改。</w:t>
      </w:r>
    </w:p>
    <w:p w14:paraId="4DD0B68A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付款节点</w:t>
      </w:r>
    </w:p>
    <w:p w14:paraId="281BD971">
      <w:pPr>
        <w:pStyle w:val="11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48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第一期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30</w:t>
      </w:r>
      <w:r>
        <w:rPr>
          <w:rFonts w:hint="eastAsia" w:ascii="仿宋" w:hAnsi="仿宋" w:eastAsia="仿宋" w:cs="仿宋"/>
          <w:sz w:val="30"/>
          <w:szCs w:val="30"/>
        </w:rPr>
        <w:t>%：现场勘测完成、平面布局方案经甲方确认后支付；</w:t>
      </w:r>
    </w:p>
    <w:p w14:paraId="6D009DB4">
      <w:pPr>
        <w:pStyle w:val="11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48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第二期40%：全套施工图、造价成果交付并审核通过后支付；</w:t>
      </w:r>
    </w:p>
    <w:p w14:paraId="34DF0537">
      <w:pPr>
        <w:pStyle w:val="11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48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第三期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 w:cs="仿宋"/>
          <w:sz w:val="30"/>
          <w:szCs w:val="30"/>
        </w:rPr>
        <w:t>%：项目竣工验收、全程施工配合服务完成后，无息结清除质量保证金外剩余尾款；</w:t>
      </w:r>
    </w:p>
    <w:p w14:paraId="6FEE489F">
      <w:pPr>
        <w:pStyle w:val="11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480" w:firstLineChars="0"/>
        <w:textAlignment w:val="auto"/>
        <w:rPr>
          <w:rFonts w:hint="eastAsia" w:ascii="仿宋" w:hAnsi="仿宋" w:eastAsia="仿宋" w:cs="仿宋"/>
          <w:b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质量保证金3%：项目整体工程完工、质保期满且无遗留服务问题后，无息全额支付。</w:t>
      </w:r>
    </w:p>
    <w:p w14:paraId="3BBEE2C0">
      <w:pPr>
        <w:pStyle w:val="11"/>
        <w:bidi w:val="0"/>
        <w:rPr>
          <w:rFonts w:hint="eastAsia" w:ascii="GWZT-EN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00003" w:csb1="00000000"/>
    <w:embedRegular r:id="rId1" w:fontKey="{5485825E-DA83-43E1-845E-080F149D0F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AC87025-7E81-4344-9068-F40A2015053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34D30">
    <w:pPr>
      <w:pStyle w:val="12"/>
      <w:rPr>
        <w:rFonts w:ascii="GWZT-EN"/>
      </w:rPr>
    </w:pPr>
    <w:r>
      <w:rPr>
        <w:rFonts w:ascii="GWZT-E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89F7B1">
                          <w:pPr>
                            <w:pStyle w:val="12"/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E89F7B1">
                    <w:pPr>
                      <w:pStyle w:val="12"/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4"/>
                      </w:rPr>
                      <w:t xml:space="preserve"> </w:t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4"/>
                      </w:rPr>
                      <w:t xml:space="preserve"> </w:t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0EC67">
    <w:pPr>
      <w:pStyle w:val="12"/>
      <w:rPr>
        <w:rFonts w:ascii="GWZT-EN"/>
      </w:rPr>
    </w:pPr>
    <w:r>
      <w:rPr>
        <w:rFonts w:ascii="GWZT-EN"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4E29A">
                          <w:pPr>
                            <w:pStyle w:val="12"/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WZT-EN" w:hAnsi="GWZT-EN" w:eastAsia="GWZT-EN" w:cs="GWZT-E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A04E29A">
                    <w:pPr>
                      <w:pStyle w:val="12"/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4"/>
                      </w:rPr>
                      <w:t xml:space="preserve"> </w:t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t>2</w:t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4"/>
                      </w:rPr>
                      <w:t xml:space="preserve"> </w:t>
                    </w:r>
                    <w:r>
                      <w:rPr>
                        <w:rFonts w:ascii="GWZT-EN" w:hAnsi="GWZT-EN" w:eastAsia="GWZT-EN" w:cs="GWZT-EN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8DCCF">
    <w:pPr>
      <w:pStyle w:val="13"/>
      <w:pBdr>
        <w:bottom w:val="none" w:color="auto" w:sz="0" w:space="1"/>
      </w:pBdr>
      <w:rPr>
        <w:rFonts w:ascii="GWZT-E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8942C">
    <w:pPr>
      <w:pStyle w:val="13"/>
      <w:pBdr>
        <w:bottom w:val="none" w:color="auto" w:sz="0" w:space="1"/>
      </w:pBdr>
      <w:rPr>
        <w:rFonts w:ascii="GWZT-E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0584F5"/>
    <w:multiLevelType w:val="singleLevel"/>
    <w:tmpl w:val="A50584F5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">
    <w:nsid w:val="F20E574A"/>
    <w:multiLevelType w:val="singleLevel"/>
    <w:tmpl w:val="F20E574A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2">
    <w:nsid w:val="126970DA"/>
    <w:multiLevelType w:val="singleLevel"/>
    <w:tmpl w:val="126970DA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3">
    <w:nsid w:val="34DA2EC0"/>
    <w:multiLevelType w:val="singleLevel"/>
    <w:tmpl w:val="34DA2EC0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4">
    <w:nsid w:val="6A3BD447"/>
    <w:multiLevelType w:val="singleLevel"/>
    <w:tmpl w:val="6A3BD44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45CD3"/>
    <w:rsid w:val="0DEE37DC"/>
    <w:rsid w:val="0F291DA7"/>
    <w:rsid w:val="13345179"/>
    <w:rsid w:val="16631F0E"/>
    <w:rsid w:val="249F0F06"/>
    <w:rsid w:val="31184344"/>
    <w:rsid w:val="32783CFB"/>
    <w:rsid w:val="33DB5B76"/>
    <w:rsid w:val="43456237"/>
    <w:rsid w:val="479B56EB"/>
    <w:rsid w:val="537054C8"/>
    <w:rsid w:val="58132EFF"/>
    <w:rsid w:val="59B456E7"/>
    <w:rsid w:val="5C2D245D"/>
    <w:rsid w:val="5EF61B69"/>
    <w:rsid w:val="5FF74B46"/>
    <w:rsid w:val="66A85040"/>
    <w:rsid w:val="6B3F09E1"/>
    <w:rsid w:val="70470490"/>
    <w:rsid w:val="7978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WZT-EN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link w:val="178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9">
    <w:name w:val="Default Paragraph Font"/>
    <w:qFormat/>
    <w:uiPriority w:val="0"/>
    <w:rPr>
      <w:rFonts w:ascii="GWZT-EN"/>
    </w:rPr>
  </w:style>
  <w:style w:type="table" w:default="1" w:styleId="16">
    <w:name w:val="Normal Table"/>
    <w:qFormat/>
    <w:uiPriority w:val="0"/>
    <w:pPr>
      <w:spacing w:line="240" w:lineRule="auto"/>
    </w:pPr>
    <w:rPr>
      <w:rFonts w:ascii="GWZT-E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GWZT-EN"/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GWZT-EN"/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5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table" w:styleId="17">
    <w:name w:val="Table Grid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8">
    <w:name w:val="Table Theme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9">
    <w:name w:val="Table Colorful 1"/>
    <w:basedOn w:val="16"/>
    <w:qFormat/>
    <w:uiPriority w:val="0"/>
    <w:pPr>
      <w:widowControl w:val="0"/>
      <w:spacing w:line="240" w:lineRule="auto"/>
      <w:jc w:val="both"/>
    </w:pPr>
    <w:rPr>
      <w:rFonts w:ascii="GWZT-EN"/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0">
    <w:name w:val="Table Colorful 2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1">
    <w:name w:val="Table Colorful 3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22">
    <w:name w:val="Table Elegant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23">
    <w:name w:val="Table Classic 1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4">
    <w:name w:val="Table Classic 2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25">
    <w:name w:val="Table Classic 3"/>
    <w:basedOn w:val="16"/>
    <w:qFormat/>
    <w:uiPriority w:val="0"/>
    <w:pPr>
      <w:widowControl w:val="0"/>
      <w:spacing w:line="240" w:lineRule="auto"/>
      <w:jc w:val="both"/>
    </w:pPr>
    <w:rPr>
      <w:rFonts w:ascii="GWZT-EN"/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26">
    <w:name w:val="Table Classic 4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27">
    <w:name w:val="Table Simple 1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28">
    <w:name w:val="Table Simple 2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29">
    <w:name w:val="Table Simple 3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30">
    <w:name w:val="Table Subtle 1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1">
    <w:name w:val="Table Subtle 2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2">
    <w:name w:val="Table 3D effects 1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33">
    <w:name w:val="Table 3D effects 2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4">
    <w:name w:val="Table 3D effects 3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5">
    <w:name w:val="Table List 1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6">
    <w:name w:val="Table List 2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7">
    <w:name w:val="Table List 3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8">
    <w:name w:val="Table List 4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39">
    <w:name w:val="Table List 5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0">
    <w:name w:val="Table List 6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41">
    <w:name w:val="Table List 7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42">
    <w:name w:val="Table List 8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43">
    <w:name w:val="Table Contemporary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44">
    <w:name w:val="Table Columns 1"/>
    <w:basedOn w:val="16"/>
    <w:qFormat/>
    <w:uiPriority w:val="0"/>
    <w:pPr>
      <w:widowControl w:val="0"/>
      <w:spacing w:line="240" w:lineRule="auto"/>
      <w:jc w:val="both"/>
    </w:pPr>
    <w:rPr>
      <w:rFonts w:ascii="GWZT-EN"/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5">
    <w:name w:val="Table Columns 2"/>
    <w:basedOn w:val="16"/>
    <w:qFormat/>
    <w:uiPriority w:val="0"/>
    <w:pPr>
      <w:widowControl w:val="0"/>
      <w:spacing w:line="240" w:lineRule="auto"/>
      <w:jc w:val="both"/>
    </w:pPr>
    <w:rPr>
      <w:rFonts w:ascii="GWZT-E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6">
    <w:name w:val="Table Columns 3"/>
    <w:basedOn w:val="16"/>
    <w:qFormat/>
    <w:uiPriority w:val="0"/>
    <w:pPr>
      <w:widowControl w:val="0"/>
      <w:spacing w:line="240" w:lineRule="auto"/>
      <w:jc w:val="both"/>
    </w:pPr>
    <w:rPr>
      <w:rFonts w:ascii="GWZT-EN"/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7">
    <w:name w:val="Table Columns 4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48">
    <w:name w:val="Table Columns 5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49">
    <w:name w:val="Table Grid 1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50">
    <w:name w:val="Table Grid 2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51">
    <w:name w:val="Table Grid 3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52">
    <w:name w:val="Table Grid 4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3">
    <w:name w:val="Table Grid 5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54">
    <w:name w:val="Table Grid 6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55">
    <w:name w:val="Table Grid 7"/>
    <w:basedOn w:val="16"/>
    <w:qFormat/>
    <w:uiPriority w:val="0"/>
    <w:pPr>
      <w:widowControl w:val="0"/>
      <w:spacing w:line="240" w:lineRule="auto"/>
      <w:jc w:val="both"/>
    </w:pPr>
    <w:rPr>
      <w:rFonts w:ascii="GWZT-EN"/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56">
    <w:name w:val="Table Grid 8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7">
    <w:name w:val="Table Web 1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58">
    <w:name w:val="Table Web 2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59">
    <w:name w:val="Table Web 3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60">
    <w:name w:val="Table Professional"/>
    <w:basedOn w:val="16"/>
    <w:qFormat/>
    <w:uiPriority w:val="0"/>
    <w:pPr>
      <w:widowControl w:val="0"/>
      <w:spacing w:line="240" w:lineRule="auto"/>
      <w:jc w:val="both"/>
    </w:pPr>
    <w:rPr>
      <w:rFonts w:ascii="GWZT-E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61">
    <w:name w:val="Light Shading"/>
    <w:basedOn w:val="16"/>
    <w:qFormat/>
    <w:uiPriority w:val="60"/>
    <w:pPr>
      <w:spacing w:line="240" w:lineRule="auto"/>
    </w:pPr>
    <w:rPr>
      <w:rFonts w:ascii="GWZT-EN"/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62">
    <w:name w:val="Light Shading Accent 1"/>
    <w:basedOn w:val="16"/>
    <w:qFormat/>
    <w:uiPriority w:val="60"/>
    <w:pPr>
      <w:spacing w:line="240" w:lineRule="auto"/>
    </w:pPr>
    <w:rPr>
      <w:rFonts w:ascii="GWZT-EN"/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63">
    <w:name w:val="Light Shading Accent 2"/>
    <w:basedOn w:val="16"/>
    <w:qFormat/>
    <w:uiPriority w:val="60"/>
    <w:pPr>
      <w:spacing w:line="240" w:lineRule="auto"/>
    </w:pPr>
    <w:rPr>
      <w:rFonts w:ascii="GWZT-EN"/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64">
    <w:name w:val="Light Shading Accent 3"/>
    <w:basedOn w:val="16"/>
    <w:qFormat/>
    <w:uiPriority w:val="60"/>
    <w:pPr>
      <w:spacing w:line="240" w:lineRule="auto"/>
    </w:pPr>
    <w:rPr>
      <w:rFonts w:ascii="GWZT-EN"/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65">
    <w:name w:val="Light Shading Accent 4"/>
    <w:basedOn w:val="16"/>
    <w:qFormat/>
    <w:uiPriority w:val="60"/>
    <w:pPr>
      <w:spacing w:line="240" w:lineRule="auto"/>
    </w:pPr>
    <w:rPr>
      <w:rFonts w:ascii="GWZT-EN"/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66">
    <w:name w:val="Light Shading Accent 5"/>
    <w:basedOn w:val="16"/>
    <w:qFormat/>
    <w:uiPriority w:val="60"/>
    <w:pPr>
      <w:spacing w:line="240" w:lineRule="auto"/>
    </w:pPr>
    <w:rPr>
      <w:rFonts w:ascii="GWZT-EN"/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67">
    <w:name w:val="Light Shading Accent 6"/>
    <w:basedOn w:val="16"/>
    <w:qFormat/>
    <w:uiPriority w:val="60"/>
    <w:pPr>
      <w:spacing w:line="240" w:lineRule="auto"/>
    </w:pPr>
    <w:rPr>
      <w:rFonts w:ascii="GWZT-EN"/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68">
    <w:name w:val="Light List"/>
    <w:basedOn w:val="16"/>
    <w:qFormat/>
    <w:uiPriority w:val="61"/>
    <w:pPr>
      <w:spacing w:line="240" w:lineRule="auto"/>
    </w:pPr>
    <w:rPr>
      <w:rFonts w:ascii="GWZT-EN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69">
    <w:name w:val="Light List Accent 1"/>
    <w:basedOn w:val="16"/>
    <w:qFormat/>
    <w:uiPriority w:val="61"/>
    <w:pPr>
      <w:spacing w:line="240" w:lineRule="auto"/>
    </w:pPr>
    <w:rPr>
      <w:rFonts w:ascii="GWZT-EN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70">
    <w:name w:val="Light List Accent 2"/>
    <w:basedOn w:val="16"/>
    <w:qFormat/>
    <w:uiPriority w:val="61"/>
    <w:pPr>
      <w:spacing w:line="240" w:lineRule="auto"/>
    </w:pPr>
    <w:rPr>
      <w:rFonts w:ascii="GWZT-EN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71">
    <w:name w:val="Light List Accent 3"/>
    <w:basedOn w:val="16"/>
    <w:qFormat/>
    <w:uiPriority w:val="61"/>
    <w:pPr>
      <w:spacing w:line="240" w:lineRule="auto"/>
    </w:pPr>
    <w:rPr>
      <w:rFonts w:ascii="GWZT-EN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72">
    <w:name w:val="Light List Accent 4"/>
    <w:basedOn w:val="16"/>
    <w:qFormat/>
    <w:uiPriority w:val="61"/>
    <w:pPr>
      <w:spacing w:line="240" w:lineRule="auto"/>
    </w:pPr>
    <w:rPr>
      <w:rFonts w:ascii="GWZT-EN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73">
    <w:name w:val="Light List Accent 5"/>
    <w:basedOn w:val="16"/>
    <w:qFormat/>
    <w:uiPriority w:val="61"/>
    <w:pPr>
      <w:spacing w:line="240" w:lineRule="auto"/>
    </w:pPr>
    <w:rPr>
      <w:rFonts w:ascii="GWZT-EN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74">
    <w:name w:val="Light List Accent 6"/>
    <w:basedOn w:val="16"/>
    <w:qFormat/>
    <w:uiPriority w:val="61"/>
    <w:pPr>
      <w:spacing w:line="240" w:lineRule="auto"/>
    </w:pPr>
    <w:rPr>
      <w:rFonts w:ascii="GWZT-EN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75">
    <w:name w:val="Light Grid"/>
    <w:basedOn w:val="16"/>
    <w:qFormat/>
    <w:uiPriority w:val="62"/>
    <w:pPr>
      <w:spacing w:line="240" w:lineRule="auto"/>
    </w:pPr>
    <w:rPr>
      <w:rFonts w:ascii="GWZT-EN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76">
    <w:name w:val="Light Grid Accent 1"/>
    <w:basedOn w:val="16"/>
    <w:qFormat/>
    <w:uiPriority w:val="62"/>
    <w:pPr>
      <w:spacing w:line="240" w:lineRule="auto"/>
    </w:pPr>
    <w:rPr>
      <w:rFonts w:ascii="GWZT-EN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77">
    <w:name w:val="Light Grid Accent 2"/>
    <w:basedOn w:val="16"/>
    <w:qFormat/>
    <w:uiPriority w:val="62"/>
    <w:pPr>
      <w:spacing w:line="240" w:lineRule="auto"/>
    </w:pPr>
    <w:rPr>
      <w:rFonts w:ascii="GWZT-EN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78">
    <w:name w:val="Light Grid Accent 3"/>
    <w:basedOn w:val="16"/>
    <w:qFormat/>
    <w:uiPriority w:val="62"/>
    <w:pPr>
      <w:spacing w:line="240" w:lineRule="auto"/>
    </w:pPr>
    <w:rPr>
      <w:rFonts w:ascii="GWZT-EN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79">
    <w:name w:val="Light Grid Accent 4"/>
    <w:basedOn w:val="16"/>
    <w:qFormat/>
    <w:uiPriority w:val="62"/>
    <w:pPr>
      <w:spacing w:line="240" w:lineRule="auto"/>
    </w:pPr>
    <w:rPr>
      <w:rFonts w:ascii="GWZT-EN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80">
    <w:name w:val="Light Grid Accent 5"/>
    <w:basedOn w:val="16"/>
    <w:qFormat/>
    <w:uiPriority w:val="62"/>
    <w:pPr>
      <w:spacing w:line="240" w:lineRule="auto"/>
    </w:pPr>
    <w:rPr>
      <w:rFonts w:ascii="GWZT-EN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81">
    <w:name w:val="Light Grid Accent 6"/>
    <w:basedOn w:val="16"/>
    <w:qFormat/>
    <w:uiPriority w:val="62"/>
    <w:pPr>
      <w:spacing w:line="240" w:lineRule="auto"/>
    </w:pPr>
    <w:rPr>
      <w:rFonts w:ascii="GWZT-EN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82">
    <w:name w:val="Medium Shading 1"/>
    <w:basedOn w:val="16"/>
    <w:qFormat/>
    <w:uiPriority w:val="63"/>
    <w:pPr>
      <w:spacing w:line="240" w:lineRule="auto"/>
    </w:pPr>
    <w:rPr>
      <w:rFonts w:ascii="GWZT-EN"/>
    </w:r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83">
    <w:name w:val="Medium Shading 1 Accent 1"/>
    <w:basedOn w:val="16"/>
    <w:qFormat/>
    <w:uiPriority w:val="63"/>
    <w:pPr>
      <w:spacing w:line="240" w:lineRule="auto"/>
    </w:pPr>
    <w:rPr>
      <w:rFonts w:ascii="GWZT-EN"/>
    </w:r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84">
    <w:name w:val="Medium Shading 1 Accent 2"/>
    <w:basedOn w:val="16"/>
    <w:qFormat/>
    <w:uiPriority w:val="63"/>
    <w:pPr>
      <w:spacing w:line="240" w:lineRule="auto"/>
    </w:pPr>
    <w:rPr>
      <w:rFonts w:ascii="GWZT-EN"/>
    </w:r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85">
    <w:name w:val="Medium Shading 1 Accent 3"/>
    <w:basedOn w:val="16"/>
    <w:qFormat/>
    <w:uiPriority w:val="63"/>
    <w:pPr>
      <w:spacing w:line="240" w:lineRule="auto"/>
    </w:pPr>
    <w:rPr>
      <w:rFonts w:ascii="GWZT-EN"/>
    </w:r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86">
    <w:name w:val="Medium Shading 1 Accent 4"/>
    <w:basedOn w:val="16"/>
    <w:qFormat/>
    <w:uiPriority w:val="63"/>
    <w:pPr>
      <w:spacing w:line="240" w:lineRule="auto"/>
    </w:pPr>
    <w:rPr>
      <w:rFonts w:ascii="GWZT-EN"/>
    </w:r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87">
    <w:name w:val="Medium Shading 1 Accent 5"/>
    <w:basedOn w:val="16"/>
    <w:qFormat/>
    <w:uiPriority w:val="63"/>
    <w:pPr>
      <w:spacing w:line="240" w:lineRule="auto"/>
    </w:pPr>
    <w:rPr>
      <w:rFonts w:ascii="GWZT-EN"/>
    </w:r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88">
    <w:name w:val="Medium Shading 1 Accent 6"/>
    <w:basedOn w:val="16"/>
    <w:qFormat/>
    <w:uiPriority w:val="63"/>
    <w:pPr>
      <w:spacing w:line="240" w:lineRule="auto"/>
    </w:pPr>
    <w:rPr>
      <w:rFonts w:ascii="GWZT-EN"/>
    </w:r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89">
    <w:name w:val="Medium Shading 2"/>
    <w:basedOn w:val="16"/>
    <w:qFormat/>
    <w:uiPriority w:val="64"/>
    <w:pPr>
      <w:spacing w:line="240" w:lineRule="auto"/>
    </w:pPr>
    <w:rPr>
      <w:rFonts w:ascii="GWZT-EN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90">
    <w:name w:val="Medium Shading 2 Accent 1"/>
    <w:basedOn w:val="16"/>
    <w:qFormat/>
    <w:uiPriority w:val="64"/>
    <w:pPr>
      <w:spacing w:line="240" w:lineRule="auto"/>
    </w:pPr>
    <w:rPr>
      <w:rFonts w:ascii="GWZT-EN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91">
    <w:name w:val="Medium Shading 2 Accent 2"/>
    <w:basedOn w:val="16"/>
    <w:qFormat/>
    <w:uiPriority w:val="64"/>
    <w:pPr>
      <w:spacing w:line="240" w:lineRule="auto"/>
    </w:pPr>
    <w:rPr>
      <w:rFonts w:ascii="GWZT-EN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92">
    <w:name w:val="Medium Shading 2 Accent 3"/>
    <w:basedOn w:val="16"/>
    <w:qFormat/>
    <w:uiPriority w:val="64"/>
    <w:pPr>
      <w:spacing w:line="240" w:lineRule="auto"/>
    </w:pPr>
    <w:rPr>
      <w:rFonts w:ascii="GWZT-EN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93">
    <w:name w:val="Medium Shading 2 Accent 4"/>
    <w:basedOn w:val="16"/>
    <w:qFormat/>
    <w:uiPriority w:val="64"/>
    <w:pPr>
      <w:spacing w:line="240" w:lineRule="auto"/>
    </w:pPr>
    <w:rPr>
      <w:rFonts w:ascii="GWZT-EN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94">
    <w:name w:val="Medium Shading 2 Accent 5"/>
    <w:basedOn w:val="16"/>
    <w:qFormat/>
    <w:uiPriority w:val="64"/>
    <w:pPr>
      <w:spacing w:line="240" w:lineRule="auto"/>
    </w:pPr>
    <w:rPr>
      <w:rFonts w:ascii="GWZT-EN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95">
    <w:name w:val="Medium Shading 2 Accent 6"/>
    <w:basedOn w:val="16"/>
    <w:qFormat/>
    <w:uiPriority w:val="64"/>
    <w:pPr>
      <w:spacing w:line="240" w:lineRule="auto"/>
    </w:pPr>
    <w:rPr>
      <w:rFonts w:ascii="GWZT-EN"/>
    </w:r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96">
    <w:name w:val="Medium List 1"/>
    <w:basedOn w:val="16"/>
    <w:qFormat/>
    <w:uiPriority w:val="65"/>
    <w:pPr>
      <w:spacing w:line="240" w:lineRule="auto"/>
    </w:pPr>
    <w:rPr>
      <w:rFonts w:ascii="GWZT-EN"/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97">
    <w:name w:val="Medium List 1 Accent 1"/>
    <w:basedOn w:val="16"/>
    <w:qFormat/>
    <w:uiPriority w:val="65"/>
    <w:pPr>
      <w:spacing w:line="240" w:lineRule="auto"/>
    </w:pPr>
    <w:rPr>
      <w:rFonts w:ascii="GWZT-EN"/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98">
    <w:name w:val="Medium List 1 Accent 2"/>
    <w:basedOn w:val="16"/>
    <w:qFormat/>
    <w:uiPriority w:val="65"/>
    <w:pPr>
      <w:spacing w:line="240" w:lineRule="auto"/>
    </w:pPr>
    <w:rPr>
      <w:rFonts w:ascii="GWZT-EN"/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99">
    <w:name w:val="Medium List 1 Accent 3"/>
    <w:basedOn w:val="16"/>
    <w:qFormat/>
    <w:uiPriority w:val="65"/>
    <w:pPr>
      <w:spacing w:line="240" w:lineRule="auto"/>
    </w:pPr>
    <w:rPr>
      <w:rFonts w:ascii="GWZT-EN"/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00">
    <w:name w:val="Medium List 1 Accent 4"/>
    <w:basedOn w:val="16"/>
    <w:qFormat/>
    <w:uiPriority w:val="65"/>
    <w:pPr>
      <w:spacing w:line="240" w:lineRule="auto"/>
    </w:pPr>
    <w:rPr>
      <w:rFonts w:ascii="GWZT-EN"/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01">
    <w:name w:val="Medium List 1 Accent 5"/>
    <w:basedOn w:val="16"/>
    <w:qFormat/>
    <w:uiPriority w:val="65"/>
    <w:pPr>
      <w:spacing w:line="240" w:lineRule="auto"/>
    </w:pPr>
    <w:rPr>
      <w:rFonts w:ascii="GWZT-EN"/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02">
    <w:name w:val="Medium List 1 Accent 6"/>
    <w:basedOn w:val="16"/>
    <w:qFormat/>
    <w:uiPriority w:val="65"/>
    <w:pPr>
      <w:spacing w:line="240" w:lineRule="auto"/>
    </w:pPr>
    <w:rPr>
      <w:rFonts w:ascii="GWZT-EN"/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03">
    <w:name w:val="Medium List 2"/>
    <w:basedOn w:val="16"/>
    <w:qFormat/>
    <w:uiPriority w:val="66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04">
    <w:name w:val="Medium List 2 Accent 1"/>
    <w:basedOn w:val="16"/>
    <w:qFormat/>
    <w:uiPriority w:val="66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05">
    <w:name w:val="Medium List 2 Accent 2"/>
    <w:basedOn w:val="16"/>
    <w:qFormat/>
    <w:uiPriority w:val="66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06">
    <w:name w:val="Medium List 2 Accent 3"/>
    <w:basedOn w:val="16"/>
    <w:qFormat/>
    <w:uiPriority w:val="66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07">
    <w:name w:val="Medium List 2 Accent 4"/>
    <w:basedOn w:val="16"/>
    <w:qFormat/>
    <w:uiPriority w:val="66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08">
    <w:name w:val="Medium List 2 Accent 5"/>
    <w:basedOn w:val="16"/>
    <w:qFormat/>
    <w:uiPriority w:val="66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09">
    <w:name w:val="Medium List 2 Accent 6"/>
    <w:basedOn w:val="16"/>
    <w:qFormat/>
    <w:uiPriority w:val="66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10">
    <w:name w:val="Medium Grid 1"/>
    <w:basedOn w:val="16"/>
    <w:qFormat/>
    <w:uiPriority w:val="67"/>
    <w:pPr>
      <w:spacing w:line="240" w:lineRule="auto"/>
    </w:pPr>
    <w:rPr>
      <w:rFonts w:ascii="GWZT-EN"/>
    </w:r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11">
    <w:name w:val="Medium Grid 1 Accent 1"/>
    <w:basedOn w:val="16"/>
    <w:qFormat/>
    <w:uiPriority w:val="67"/>
    <w:pPr>
      <w:spacing w:line="240" w:lineRule="auto"/>
    </w:pPr>
    <w:rPr>
      <w:rFonts w:ascii="GWZT-EN"/>
    </w:r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12">
    <w:name w:val="Medium Grid 1 Accent 2"/>
    <w:basedOn w:val="16"/>
    <w:qFormat/>
    <w:uiPriority w:val="67"/>
    <w:pPr>
      <w:spacing w:line="240" w:lineRule="auto"/>
    </w:pPr>
    <w:rPr>
      <w:rFonts w:ascii="GWZT-EN"/>
    </w:r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13">
    <w:name w:val="Medium Grid 1 Accent 3"/>
    <w:basedOn w:val="16"/>
    <w:qFormat/>
    <w:uiPriority w:val="67"/>
    <w:pPr>
      <w:spacing w:line="240" w:lineRule="auto"/>
    </w:pPr>
    <w:rPr>
      <w:rFonts w:ascii="GWZT-EN"/>
    </w:r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14">
    <w:name w:val="Medium Grid 1 Accent 4"/>
    <w:basedOn w:val="16"/>
    <w:qFormat/>
    <w:uiPriority w:val="67"/>
    <w:pPr>
      <w:spacing w:line="240" w:lineRule="auto"/>
    </w:pPr>
    <w:rPr>
      <w:rFonts w:ascii="GWZT-EN"/>
    </w:r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15">
    <w:name w:val="Medium Grid 1 Accent 5"/>
    <w:basedOn w:val="16"/>
    <w:qFormat/>
    <w:uiPriority w:val="67"/>
    <w:pPr>
      <w:spacing w:line="240" w:lineRule="auto"/>
    </w:pPr>
    <w:rPr>
      <w:rFonts w:ascii="GWZT-EN"/>
    </w:r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16">
    <w:name w:val="Medium Grid 1 Accent 6"/>
    <w:basedOn w:val="16"/>
    <w:qFormat/>
    <w:uiPriority w:val="67"/>
    <w:pPr>
      <w:spacing w:line="240" w:lineRule="auto"/>
    </w:pPr>
    <w:rPr>
      <w:rFonts w:ascii="GWZT-EN"/>
    </w:r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17">
    <w:name w:val="Medium Grid 2"/>
    <w:basedOn w:val="16"/>
    <w:qFormat/>
    <w:uiPriority w:val="68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118">
    <w:name w:val="Medium Grid 2 Accent 1"/>
    <w:basedOn w:val="16"/>
    <w:qFormat/>
    <w:uiPriority w:val="68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119">
    <w:name w:val="Medium Grid 2 Accent 2"/>
    <w:basedOn w:val="16"/>
    <w:qFormat/>
    <w:uiPriority w:val="68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120">
    <w:name w:val="Medium Grid 2 Accent 3"/>
    <w:basedOn w:val="16"/>
    <w:qFormat/>
    <w:uiPriority w:val="68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121">
    <w:name w:val="Medium Grid 2 Accent 4"/>
    <w:basedOn w:val="16"/>
    <w:qFormat/>
    <w:uiPriority w:val="68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22">
    <w:name w:val="Medium Grid 2 Accent 5"/>
    <w:basedOn w:val="16"/>
    <w:qFormat/>
    <w:uiPriority w:val="68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123">
    <w:name w:val="Medium Grid 2 Accent 6"/>
    <w:basedOn w:val="16"/>
    <w:qFormat/>
    <w:uiPriority w:val="68"/>
    <w:pPr>
      <w:spacing w:line="240" w:lineRule="auto"/>
    </w:pPr>
    <w:rPr>
      <w:rFonts w:ascii="GWZT-EN" w:hAnsi="Symbol" w:eastAsia="黑体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124">
    <w:name w:val="Medium Grid 3"/>
    <w:basedOn w:val="16"/>
    <w:qFormat/>
    <w:uiPriority w:val="69"/>
    <w:pPr>
      <w:spacing w:line="240" w:lineRule="auto"/>
    </w:pPr>
    <w:rPr>
      <w:rFonts w:ascii="GWZT-EN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25">
    <w:name w:val="Medium Grid 3 Accent 1"/>
    <w:basedOn w:val="16"/>
    <w:qFormat/>
    <w:uiPriority w:val="69"/>
    <w:pPr>
      <w:spacing w:line="240" w:lineRule="auto"/>
    </w:pPr>
    <w:rPr>
      <w:rFonts w:ascii="GWZT-EN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26">
    <w:name w:val="Medium Grid 3 Accent 2"/>
    <w:basedOn w:val="16"/>
    <w:qFormat/>
    <w:uiPriority w:val="69"/>
    <w:pPr>
      <w:spacing w:line="240" w:lineRule="auto"/>
    </w:pPr>
    <w:rPr>
      <w:rFonts w:ascii="GWZT-EN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27">
    <w:name w:val="Medium Grid 3 Accent 3"/>
    <w:basedOn w:val="16"/>
    <w:qFormat/>
    <w:uiPriority w:val="69"/>
    <w:pPr>
      <w:spacing w:line="240" w:lineRule="auto"/>
    </w:pPr>
    <w:rPr>
      <w:rFonts w:ascii="GWZT-EN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8">
    <w:name w:val="Medium Grid 3 Accent 4"/>
    <w:basedOn w:val="16"/>
    <w:qFormat/>
    <w:uiPriority w:val="69"/>
    <w:pPr>
      <w:spacing w:line="240" w:lineRule="auto"/>
    </w:pPr>
    <w:rPr>
      <w:rFonts w:ascii="GWZT-EN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9">
    <w:name w:val="Medium Grid 3 Accent 5"/>
    <w:basedOn w:val="16"/>
    <w:qFormat/>
    <w:uiPriority w:val="69"/>
    <w:pPr>
      <w:spacing w:line="240" w:lineRule="auto"/>
    </w:pPr>
    <w:rPr>
      <w:rFonts w:ascii="GWZT-EN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0">
    <w:name w:val="Medium Grid 3 Accent 6"/>
    <w:basedOn w:val="16"/>
    <w:qFormat/>
    <w:uiPriority w:val="69"/>
    <w:pPr>
      <w:spacing w:line="240" w:lineRule="auto"/>
    </w:pPr>
    <w:rPr>
      <w:rFonts w:ascii="GWZT-EN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31">
    <w:name w:val="Dark List"/>
    <w:basedOn w:val="16"/>
    <w:qFormat/>
    <w:uiPriority w:val="70"/>
    <w:pPr>
      <w:spacing w:line="240" w:lineRule="auto"/>
    </w:pPr>
    <w:rPr>
      <w:rFonts w:ascii="GWZT-EN"/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32">
    <w:name w:val="Dark List Accent 1"/>
    <w:basedOn w:val="16"/>
    <w:qFormat/>
    <w:uiPriority w:val="70"/>
    <w:pPr>
      <w:spacing w:line="240" w:lineRule="auto"/>
    </w:pPr>
    <w:rPr>
      <w:rFonts w:ascii="GWZT-EN"/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33">
    <w:name w:val="Dark List Accent 2"/>
    <w:basedOn w:val="16"/>
    <w:qFormat/>
    <w:uiPriority w:val="70"/>
    <w:pPr>
      <w:spacing w:line="240" w:lineRule="auto"/>
    </w:pPr>
    <w:rPr>
      <w:rFonts w:ascii="GWZT-EN"/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34">
    <w:name w:val="Dark List Accent 3"/>
    <w:basedOn w:val="16"/>
    <w:qFormat/>
    <w:uiPriority w:val="70"/>
    <w:pPr>
      <w:spacing w:line="240" w:lineRule="auto"/>
    </w:pPr>
    <w:rPr>
      <w:rFonts w:ascii="GWZT-EN"/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35">
    <w:name w:val="Dark List Accent 4"/>
    <w:basedOn w:val="16"/>
    <w:qFormat/>
    <w:uiPriority w:val="70"/>
    <w:pPr>
      <w:spacing w:line="240" w:lineRule="auto"/>
    </w:pPr>
    <w:rPr>
      <w:rFonts w:ascii="GWZT-EN"/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36">
    <w:name w:val="Dark List Accent 5"/>
    <w:basedOn w:val="16"/>
    <w:qFormat/>
    <w:uiPriority w:val="70"/>
    <w:pPr>
      <w:spacing w:line="240" w:lineRule="auto"/>
    </w:pPr>
    <w:rPr>
      <w:rFonts w:ascii="GWZT-EN"/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37">
    <w:name w:val="Dark List Accent 6"/>
    <w:basedOn w:val="16"/>
    <w:qFormat/>
    <w:uiPriority w:val="70"/>
    <w:pPr>
      <w:spacing w:line="240" w:lineRule="auto"/>
    </w:pPr>
    <w:rPr>
      <w:rFonts w:ascii="GWZT-EN"/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38">
    <w:name w:val="Colorful Shading"/>
    <w:basedOn w:val="16"/>
    <w:uiPriority w:val="71"/>
    <w:pPr>
      <w:spacing w:line="240" w:lineRule="auto"/>
    </w:pPr>
    <w:rPr>
      <w:rFonts w:ascii="GWZT-EN"/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39">
    <w:name w:val="Colorful Shading Accent 1"/>
    <w:basedOn w:val="16"/>
    <w:uiPriority w:val="71"/>
    <w:pPr>
      <w:spacing w:line="240" w:lineRule="auto"/>
    </w:pPr>
    <w:rPr>
      <w:rFonts w:ascii="GWZT-EN"/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40">
    <w:name w:val="Colorful Shading Accent 2"/>
    <w:basedOn w:val="16"/>
    <w:uiPriority w:val="71"/>
    <w:pPr>
      <w:spacing w:line="240" w:lineRule="auto"/>
    </w:pPr>
    <w:rPr>
      <w:rFonts w:ascii="GWZT-EN"/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41">
    <w:name w:val="Colorful Shading Accent 3"/>
    <w:basedOn w:val="16"/>
    <w:uiPriority w:val="71"/>
    <w:pPr>
      <w:spacing w:line="240" w:lineRule="auto"/>
    </w:pPr>
    <w:rPr>
      <w:rFonts w:ascii="GWZT-EN"/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42">
    <w:name w:val="Colorful Shading Accent 4"/>
    <w:basedOn w:val="16"/>
    <w:uiPriority w:val="71"/>
    <w:pPr>
      <w:spacing w:line="240" w:lineRule="auto"/>
    </w:pPr>
    <w:rPr>
      <w:rFonts w:ascii="GWZT-EN"/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43">
    <w:name w:val="Colorful Shading Accent 5"/>
    <w:basedOn w:val="16"/>
    <w:uiPriority w:val="71"/>
    <w:pPr>
      <w:spacing w:line="240" w:lineRule="auto"/>
    </w:pPr>
    <w:rPr>
      <w:rFonts w:ascii="GWZT-EN"/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44">
    <w:name w:val="Colorful Shading Accent 6"/>
    <w:basedOn w:val="16"/>
    <w:uiPriority w:val="71"/>
    <w:pPr>
      <w:spacing w:line="240" w:lineRule="auto"/>
    </w:pPr>
    <w:rPr>
      <w:rFonts w:ascii="GWZT-EN"/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45">
    <w:name w:val="Colorful List"/>
    <w:basedOn w:val="16"/>
    <w:qFormat/>
    <w:uiPriority w:val="72"/>
    <w:pPr>
      <w:spacing w:line="240" w:lineRule="auto"/>
    </w:pPr>
    <w:rPr>
      <w:rFonts w:ascii="GWZT-EN"/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46">
    <w:name w:val="Colorful List Accent 1"/>
    <w:basedOn w:val="16"/>
    <w:uiPriority w:val="72"/>
    <w:pPr>
      <w:spacing w:line="240" w:lineRule="auto"/>
    </w:pPr>
    <w:rPr>
      <w:rFonts w:ascii="GWZT-EN"/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47">
    <w:name w:val="Colorful List Accent 2"/>
    <w:basedOn w:val="16"/>
    <w:uiPriority w:val="72"/>
    <w:pPr>
      <w:spacing w:line="240" w:lineRule="auto"/>
    </w:pPr>
    <w:rPr>
      <w:rFonts w:ascii="GWZT-EN"/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48">
    <w:name w:val="Colorful List Accent 3"/>
    <w:basedOn w:val="16"/>
    <w:uiPriority w:val="72"/>
    <w:pPr>
      <w:spacing w:line="240" w:lineRule="auto"/>
    </w:pPr>
    <w:rPr>
      <w:rFonts w:ascii="GWZT-EN"/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49">
    <w:name w:val="Colorful List Accent 4"/>
    <w:basedOn w:val="16"/>
    <w:uiPriority w:val="72"/>
    <w:pPr>
      <w:spacing w:line="240" w:lineRule="auto"/>
    </w:pPr>
    <w:rPr>
      <w:rFonts w:ascii="GWZT-EN"/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50">
    <w:name w:val="Colorful List Accent 5"/>
    <w:basedOn w:val="16"/>
    <w:qFormat/>
    <w:uiPriority w:val="72"/>
    <w:pPr>
      <w:spacing w:line="240" w:lineRule="auto"/>
    </w:pPr>
    <w:rPr>
      <w:rFonts w:ascii="GWZT-EN"/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51">
    <w:name w:val="Colorful List Accent 6"/>
    <w:basedOn w:val="16"/>
    <w:uiPriority w:val="72"/>
    <w:pPr>
      <w:spacing w:line="240" w:lineRule="auto"/>
    </w:pPr>
    <w:rPr>
      <w:rFonts w:ascii="GWZT-EN"/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52">
    <w:name w:val="Colorful Grid"/>
    <w:basedOn w:val="16"/>
    <w:uiPriority w:val="73"/>
    <w:pPr>
      <w:spacing w:line="240" w:lineRule="auto"/>
    </w:pPr>
    <w:rPr>
      <w:rFonts w:ascii="GWZT-EN"/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53">
    <w:name w:val="Colorful Grid Accent 1"/>
    <w:basedOn w:val="16"/>
    <w:uiPriority w:val="73"/>
    <w:pPr>
      <w:spacing w:line="240" w:lineRule="auto"/>
    </w:pPr>
    <w:rPr>
      <w:rFonts w:ascii="GWZT-EN"/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54">
    <w:name w:val="Colorful Grid Accent 2"/>
    <w:basedOn w:val="16"/>
    <w:uiPriority w:val="73"/>
    <w:pPr>
      <w:spacing w:line="240" w:lineRule="auto"/>
    </w:pPr>
    <w:rPr>
      <w:rFonts w:ascii="GWZT-EN"/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55">
    <w:name w:val="Colorful Grid Accent 3"/>
    <w:basedOn w:val="16"/>
    <w:uiPriority w:val="73"/>
    <w:pPr>
      <w:spacing w:line="240" w:lineRule="auto"/>
    </w:pPr>
    <w:rPr>
      <w:rFonts w:ascii="GWZT-EN"/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56">
    <w:name w:val="Colorful Grid Accent 4"/>
    <w:basedOn w:val="16"/>
    <w:uiPriority w:val="73"/>
    <w:pPr>
      <w:spacing w:line="240" w:lineRule="auto"/>
    </w:pPr>
    <w:rPr>
      <w:rFonts w:ascii="GWZT-EN"/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57">
    <w:name w:val="Colorful Grid Accent 5"/>
    <w:basedOn w:val="16"/>
    <w:qFormat/>
    <w:uiPriority w:val="73"/>
    <w:pPr>
      <w:spacing w:line="240" w:lineRule="auto"/>
    </w:pPr>
    <w:rPr>
      <w:rFonts w:ascii="GWZT-EN"/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58">
    <w:name w:val="Colorful Grid Accent 6"/>
    <w:basedOn w:val="16"/>
    <w:qFormat/>
    <w:uiPriority w:val="73"/>
    <w:pPr>
      <w:spacing w:line="240" w:lineRule="auto"/>
    </w:pPr>
    <w:rPr>
      <w:rFonts w:ascii="GWZT-EN"/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60">
    <w:name w:val="Strong"/>
    <w:basedOn w:val="159"/>
    <w:qFormat/>
    <w:uiPriority w:val="0"/>
    <w:rPr>
      <w:rFonts w:ascii="GWZT-EN"/>
      <w:b/>
    </w:rPr>
  </w:style>
  <w:style w:type="character" w:styleId="161">
    <w:name w:val="endnote reference"/>
    <w:basedOn w:val="159"/>
    <w:qFormat/>
    <w:uiPriority w:val="0"/>
    <w:rPr>
      <w:rFonts w:ascii="GWZT-EN"/>
      <w:vertAlign w:val="superscript"/>
    </w:rPr>
  </w:style>
  <w:style w:type="character" w:styleId="162">
    <w:name w:val="page number"/>
    <w:basedOn w:val="159"/>
    <w:qFormat/>
    <w:uiPriority w:val="0"/>
    <w:rPr>
      <w:rFonts w:ascii="GWZT-EN"/>
    </w:rPr>
  </w:style>
  <w:style w:type="character" w:styleId="163">
    <w:name w:val="FollowedHyperlink"/>
    <w:basedOn w:val="159"/>
    <w:qFormat/>
    <w:uiPriority w:val="0"/>
    <w:rPr>
      <w:rFonts w:ascii="GWZT-EN"/>
      <w:color w:val="800080"/>
      <w:u w:val="single"/>
    </w:rPr>
  </w:style>
  <w:style w:type="character" w:styleId="164">
    <w:name w:val="Emphasis"/>
    <w:basedOn w:val="159"/>
    <w:qFormat/>
    <w:uiPriority w:val="0"/>
    <w:rPr>
      <w:rFonts w:ascii="GWZT-EN"/>
      <w:i/>
    </w:rPr>
  </w:style>
  <w:style w:type="character" w:styleId="165">
    <w:name w:val="line number"/>
    <w:basedOn w:val="159"/>
    <w:qFormat/>
    <w:uiPriority w:val="0"/>
    <w:rPr>
      <w:rFonts w:ascii="GWZT-EN"/>
    </w:rPr>
  </w:style>
  <w:style w:type="character" w:styleId="166">
    <w:name w:val="HTML Definition"/>
    <w:basedOn w:val="159"/>
    <w:qFormat/>
    <w:uiPriority w:val="0"/>
    <w:rPr>
      <w:rFonts w:ascii="GWZT-EN"/>
      <w:i/>
    </w:rPr>
  </w:style>
  <w:style w:type="character" w:styleId="167">
    <w:name w:val="HTML Typewriter"/>
    <w:basedOn w:val="159"/>
    <w:qFormat/>
    <w:uiPriority w:val="0"/>
    <w:rPr>
      <w:rFonts w:ascii="GWZT-EN" w:hAnsi="Courier New"/>
      <w:sz w:val="20"/>
    </w:rPr>
  </w:style>
  <w:style w:type="character" w:styleId="168">
    <w:name w:val="HTML Acronym"/>
    <w:basedOn w:val="159"/>
    <w:qFormat/>
    <w:uiPriority w:val="0"/>
    <w:rPr>
      <w:rFonts w:ascii="GWZT-EN"/>
    </w:rPr>
  </w:style>
  <w:style w:type="character" w:styleId="169">
    <w:name w:val="HTML Variable"/>
    <w:basedOn w:val="159"/>
    <w:qFormat/>
    <w:uiPriority w:val="0"/>
    <w:rPr>
      <w:rFonts w:ascii="GWZT-EN"/>
      <w:i/>
    </w:rPr>
  </w:style>
  <w:style w:type="character" w:styleId="170">
    <w:name w:val="Hyperlink"/>
    <w:basedOn w:val="159"/>
    <w:qFormat/>
    <w:uiPriority w:val="0"/>
    <w:rPr>
      <w:rFonts w:ascii="GWZT-EN"/>
      <w:color w:val="0000FF"/>
      <w:u w:val="single"/>
    </w:rPr>
  </w:style>
  <w:style w:type="character" w:styleId="171">
    <w:name w:val="HTML Code"/>
    <w:basedOn w:val="159"/>
    <w:qFormat/>
    <w:uiPriority w:val="0"/>
    <w:rPr>
      <w:rFonts w:ascii="GWZT-EN" w:hAnsi="Courier New"/>
      <w:sz w:val="20"/>
    </w:rPr>
  </w:style>
  <w:style w:type="character" w:styleId="172">
    <w:name w:val="annotation reference"/>
    <w:basedOn w:val="159"/>
    <w:qFormat/>
    <w:uiPriority w:val="0"/>
    <w:rPr>
      <w:rFonts w:ascii="GWZT-EN"/>
      <w:sz w:val="21"/>
    </w:rPr>
  </w:style>
  <w:style w:type="character" w:styleId="173">
    <w:name w:val="HTML Cite"/>
    <w:basedOn w:val="159"/>
    <w:qFormat/>
    <w:uiPriority w:val="0"/>
    <w:rPr>
      <w:rFonts w:ascii="GWZT-EN"/>
      <w:i/>
    </w:rPr>
  </w:style>
  <w:style w:type="character" w:styleId="174">
    <w:name w:val="footnote reference"/>
    <w:basedOn w:val="159"/>
    <w:qFormat/>
    <w:uiPriority w:val="0"/>
    <w:rPr>
      <w:rFonts w:ascii="GWZT-EN"/>
      <w:vertAlign w:val="superscript"/>
    </w:rPr>
  </w:style>
  <w:style w:type="character" w:styleId="175">
    <w:name w:val="HTML Keyboard"/>
    <w:basedOn w:val="159"/>
    <w:qFormat/>
    <w:uiPriority w:val="0"/>
    <w:rPr>
      <w:rFonts w:ascii="GWZT-EN" w:hAnsi="Courier New"/>
      <w:sz w:val="20"/>
    </w:rPr>
  </w:style>
  <w:style w:type="character" w:styleId="176">
    <w:name w:val="HTML Sample"/>
    <w:basedOn w:val="159"/>
    <w:qFormat/>
    <w:uiPriority w:val="0"/>
    <w:rPr>
      <w:rFonts w:ascii="GWZT-EN" w:hAnsi="Courier New"/>
    </w:rPr>
  </w:style>
  <w:style w:type="paragraph" w:customStyle="1" w:styleId="177">
    <w:name w:val="题注1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GWZT-EN" w:hAnsi="Times New Roman" w:eastAsia="宋体" w:cs="宋体"/>
      <w:kern w:val="2"/>
      <w:sz w:val="24"/>
      <w:szCs w:val="22"/>
      <w:lang w:bidi="ar-SA"/>
    </w:rPr>
  </w:style>
  <w:style w:type="character" w:customStyle="1" w:styleId="178">
    <w:name w:val="标题 2 Char"/>
    <w:link w:val="3"/>
    <w:qFormat/>
    <w:uiPriority w:val="0"/>
    <w:rPr>
      <w:rFonts w:ascii="Times New Roman" w:hAnsi="Times New Roman" w:eastAsia="黑体" w:cs="Times New Roman"/>
      <w:kern w:val="2"/>
      <w:sz w:val="30"/>
      <w:szCs w:val="3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1564</Words>
  <Characters>1602</Characters>
  <Paragraphs>26</Paragraphs>
  <TotalTime>4</TotalTime>
  <ScaleCrop>false</ScaleCrop>
  <LinksUpToDate>false</LinksUpToDate>
  <CharactersWithSpaces>1609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2026-07-13T08:55:00Z</dcterms:created>
  <dc:creator>琳子*^o^*</dc:creator>
  <cp:lastModifiedBy>徐翔</cp:lastModifiedBy>
  <dcterms:modified xsi:type="dcterms:W3CDTF">2026-07-29T02:45:32Z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D2E36C8BDB10756E887E536A6BD4B543_43</vt:lpwstr>
  </property>
  <property fmtid="{D5CDD505-2E9C-101B-9397-08002B2CF9AE}" pid="4" name="KSOTemplateDocerSaveRecord">
    <vt:lpwstr>eyJoZGlkIjoiOGIwYjE1YzNiMzJhMDlhZWQzY2Q2YzEwNThmMGQ0YmYiLCJ1c2VySWQiOiIxMDg2NzUyOTgxIn0=</vt:lpwstr>
  </property>
</Properties>
</file>