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4592D">
      <w:pPr>
        <w:widowControl w:val="0"/>
        <w:jc w:val="center"/>
        <w:rPr>
          <w:rFonts w:hint="eastAsia" w:ascii="微软雅黑" w:hAnsi="微软雅黑" w:eastAsia="微软雅黑" w:cs="微软雅黑"/>
          <w:kern w:val="2"/>
          <w:sz w:val="72"/>
          <w:szCs w:val="72"/>
          <w:lang w:val="en-US" w:eastAsia="zh-CN" w:bidi="ar-SA"/>
        </w:rPr>
      </w:pPr>
      <w:r>
        <w:rPr>
          <w:rFonts w:hint="eastAsia" w:ascii="微软雅黑" w:hAnsi="微软雅黑" w:eastAsia="微软雅黑" w:cs="微软雅黑"/>
          <w:b/>
          <w:bCs/>
          <w:kern w:val="2"/>
          <w:sz w:val="72"/>
          <w:szCs w:val="72"/>
          <w:lang w:val="en-US" w:eastAsia="zh-CN" w:bidi="ar-SA"/>
        </w:rPr>
        <w:t>采购需求文件</w:t>
      </w:r>
    </w:p>
    <w:p w14:paraId="69A0080F">
      <w:pPr>
        <w:widowControl w:val="0"/>
        <w:jc w:val="both"/>
        <w:rPr>
          <w:rFonts w:asciiTheme="minorHAnsi" w:hAnsiTheme="minorHAnsi" w:eastAsiaTheme="minorEastAsia" w:cstheme="minorBidi"/>
          <w:kern w:val="2"/>
          <w:sz w:val="21"/>
          <w:szCs w:val="24"/>
          <w:lang w:val="en-US" w:eastAsia="zh-CN" w:bidi="ar-SA"/>
        </w:rPr>
      </w:pPr>
    </w:p>
    <w:p w14:paraId="57F0B693">
      <w:pPr>
        <w:widowControl w:val="0"/>
        <w:spacing w:before="120" w:line="298" w:lineRule="auto"/>
        <w:jc w:val="both"/>
        <w:rPr>
          <w:rFonts w:hint="default" w:ascii="微软雅黑" w:hAnsi="微软雅黑" w:eastAsia="微软雅黑" w:cs="微软雅黑"/>
          <w:b/>
          <w:bCs/>
          <w:spacing w:val="3"/>
          <w:kern w:val="2"/>
          <w:position w:val="-1"/>
          <w:sz w:val="28"/>
          <w:szCs w:val="28"/>
          <w:lang w:val="en-US" w:eastAsia="zh-CN" w:bidi="ar-SA"/>
        </w:rPr>
      </w:pPr>
      <w:r>
        <w:rPr>
          <w:rFonts w:hint="eastAsia" w:ascii="微软雅黑" w:hAnsi="微软雅黑" w:eastAsia="微软雅黑" w:cs="微软雅黑"/>
          <w:b/>
          <w:bCs/>
          <w:spacing w:val="3"/>
          <w:kern w:val="2"/>
          <w:position w:val="-1"/>
          <w:sz w:val="28"/>
          <w:szCs w:val="28"/>
          <w:lang w:val="en-US" w:eastAsia="zh-CN" w:bidi="ar-SA"/>
        </w:rPr>
        <w:t xml:space="preserve">                     </w:t>
      </w:r>
    </w:p>
    <w:p w14:paraId="3982B620">
      <w:pPr>
        <w:widowControl w:val="0"/>
        <w:spacing w:before="120" w:line="298" w:lineRule="auto"/>
        <w:jc w:val="both"/>
        <w:rPr>
          <w:rFonts w:hint="eastAsia" w:ascii="微软雅黑" w:hAnsi="微软雅黑" w:eastAsia="微软雅黑" w:cs="微软雅黑"/>
          <w:b/>
          <w:bCs/>
          <w:spacing w:val="3"/>
          <w:kern w:val="2"/>
          <w:position w:val="-1"/>
          <w:sz w:val="28"/>
          <w:szCs w:val="28"/>
          <w:lang w:val="en-US" w:eastAsia="zh-CN" w:bidi="ar-SA"/>
        </w:rPr>
      </w:pPr>
    </w:p>
    <w:p w14:paraId="0B7C6B6E">
      <w:pPr>
        <w:widowControl w:val="0"/>
        <w:spacing w:before="120" w:line="298" w:lineRule="auto"/>
        <w:ind w:left="0" w:leftChars="0" w:firstLine="417" w:firstLineChars="128"/>
        <w:jc w:val="both"/>
        <w:rPr>
          <w:rFonts w:hint="eastAsia" w:ascii="微软雅黑" w:hAnsi="微软雅黑" w:eastAsia="微软雅黑" w:cs="微软雅黑"/>
          <w:kern w:val="2"/>
          <w:sz w:val="32"/>
          <w:szCs w:val="32"/>
          <w:lang w:val="en-US" w:eastAsia="zh-CN" w:bidi="ar-SA"/>
        </w:rPr>
      </w:pPr>
      <w:r>
        <w:rPr>
          <w:rFonts w:hint="eastAsia" w:ascii="微软雅黑" w:hAnsi="微软雅黑" w:eastAsia="微软雅黑" w:cs="微软雅黑"/>
          <w:b/>
          <w:bCs/>
          <w:spacing w:val="3"/>
          <w:kern w:val="2"/>
          <w:position w:val="-1"/>
          <w:sz w:val="32"/>
          <w:szCs w:val="32"/>
          <w:lang w:val="en-US" w:eastAsia="zh-CN" w:bidi="ar-SA"/>
        </w:rPr>
        <w:t>调查方式</w:t>
      </w:r>
      <w:r>
        <w:rPr>
          <w:rFonts w:hint="eastAsia" w:ascii="微软雅黑" w:hAnsi="微软雅黑" w:eastAsia="微软雅黑" w:cs="微软雅黑"/>
          <w:b/>
          <w:bCs/>
          <w:spacing w:val="-8"/>
          <w:kern w:val="2"/>
          <w:position w:val="-1"/>
          <w:sz w:val="32"/>
          <w:szCs w:val="32"/>
          <w:lang w:val="en-US" w:eastAsia="zh-CN" w:bidi="ar-SA"/>
        </w:rPr>
        <w:t xml:space="preserve"> ：  </w:t>
      </w:r>
      <w:r>
        <w:rPr>
          <w:rFonts w:hint="eastAsia" w:ascii="微软雅黑" w:hAnsi="微软雅黑" w:eastAsia="微软雅黑" w:cs="微软雅黑"/>
          <w:spacing w:val="-59"/>
          <w:kern w:val="2"/>
          <w:sz w:val="32"/>
          <w:szCs w:val="32"/>
          <w:lang w:val="en-US" w:eastAsia="zh-CN" w:bidi="ar-SA"/>
        </w:rPr>
        <w:t xml:space="preserve"> </w:t>
      </w:r>
      <w:r>
        <w:rPr>
          <w:rFonts w:hint="eastAsia" w:ascii="微软雅黑" w:hAnsi="微软雅黑" w:eastAsia="微软雅黑" w:cs="微软雅黑"/>
          <w:b/>
          <w:bCs/>
          <w:spacing w:val="3"/>
          <w:kern w:val="2"/>
          <w:sz w:val="32"/>
          <w:szCs w:val="32"/>
          <w:lang w:val="en-US" w:eastAsia="zh-CN" w:bidi="ar-SA"/>
        </w:rPr>
        <w:t>□咨询；</w:t>
      </w:r>
      <w:r>
        <w:rPr>
          <w:rFonts w:hint="eastAsia" w:ascii="微软雅黑" w:hAnsi="微软雅黑" w:eastAsia="微软雅黑" w:cs="微软雅黑"/>
          <w:spacing w:val="-58"/>
          <w:kern w:val="2"/>
          <w:sz w:val="32"/>
          <w:szCs w:val="32"/>
          <w:lang w:val="en-US" w:eastAsia="zh-CN" w:bidi="ar-SA"/>
        </w:rPr>
        <w:t xml:space="preserve"> </w:t>
      </w:r>
      <w:r>
        <w:rPr>
          <w:rFonts w:hint="eastAsia" w:ascii="微软雅黑" w:hAnsi="微软雅黑" w:eastAsia="微软雅黑" w:cs="微软雅黑"/>
          <w:b/>
          <w:bCs/>
          <w:spacing w:val="3"/>
          <w:kern w:val="2"/>
          <w:sz w:val="32"/>
          <w:szCs w:val="32"/>
          <w:lang w:val="en-US" w:eastAsia="zh-CN" w:bidi="ar-SA"/>
        </w:rPr>
        <w:t>□论证；</w:t>
      </w:r>
      <w:r>
        <w:rPr>
          <w:rFonts w:hint="eastAsia" w:ascii="微软雅黑" w:hAnsi="微软雅黑" w:eastAsia="微软雅黑" w:cs="微软雅黑"/>
          <w:spacing w:val="-59"/>
          <w:kern w:val="2"/>
          <w:sz w:val="32"/>
          <w:szCs w:val="32"/>
          <w:lang w:val="en-US" w:eastAsia="zh-CN" w:bidi="ar-SA"/>
        </w:rPr>
        <w:t xml:space="preserve"> </w:t>
      </w:r>
      <w:r>
        <w:rPr>
          <w:rFonts w:hint="eastAsia" w:ascii="微软雅黑" w:hAnsi="微软雅黑" w:eastAsia="微软雅黑" w:cs="微软雅黑"/>
          <w:b/>
          <w:bCs/>
          <w:spacing w:val="3"/>
          <w:kern w:val="2"/>
          <w:sz w:val="32"/>
          <w:szCs w:val="32"/>
          <w:lang w:val="en-US" w:eastAsia="zh-CN" w:bidi="ar-SA"/>
        </w:rPr>
        <w:t>☑市场征集；</w:t>
      </w:r>
      <w:r>
        <w:rPr>
          <w:rFonts w:hint="eastAsia" w:ascii="微软雅黑" w:hAnsi="微软雅黑" w:eastAsia="微软雅黑" w:cs="微软雅黑"/>
          <w:spacing w:val="3"/>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□其他：</w:t>
      </w:r>
    </w:p>
    <w:p w14:paraId="39D3A9F8">
      <w:pPr>
        <w:widowControl w:val="0"/>
        <w:spacing w:before="88" w:line="183" w:lineRule="auto"/>
        <w:jc w:val="both"/>
        <w:rPr>
          <w:rFonts w:hint="eastAsia" w:ascii="微软雅黑" w:hAnsi="微软雅黑" w:eastAsia="微软雅黑" w:cs="微软雅黑"/>
          <w:b/>
          <w:bCs/>
          <w:kern w:val="2"/>
          <w:position w:val="-1"/>
          <w:sz w:val="32"/>
          <w:szCs w:val="32"/>
          <w:lang w:val="en-US" w:eastAsia="zh-CN" w:bidi="ar-SA"/>
        </w:rPr>
      </w:pPr>
    </w:p>
    <w:p w14:paraId="659041B6">
      <w:pPr>
        <w:widowControl w:val="0"/>
        <w:spacing w:before="88" w:line="183" w:lineRule="auto"/>
        <w:ind w:left="0" w:leftChars="0" w:firstLine="419" w:firstLineChars="131"/>
        <w:jc w:val="both"/>
        <w:rPr>
          <w:rFonts w:hint="eastAsia" w:ascii="微软雅黑" w:hAnsi="微软雅黑" w:eastAsia="微软雅黑" w:cs="微软雅黑"/>
          <w:kern w:val="2"/>
          <w:sz w:val="32"/>
          <w:szCs w:val="32"/>
          <w:lang w:val="en-US" w:eastAsia="zh-CN" w:bidi="ar-SA"/>
        </w:rPr>
      </w:pPr>
      <w:r>
        <w:rPr>
          <w:rFonts w:hint="eastAsia" w:ascii="微软雅黑" w:hAnsi="微软雅黑" w:eastAsia="微软雅黑" w:cs="微软雅黑"/>
          <w:b/>
          <w:bCs/>
          <w:kern w:val="2"/>
          <w:position w:val="-1"/>
          <w:sz w:val="32"/>
          <w:szCs w:val="32"/>
          <w:lang w:val="en-US" w:eastAsia="zh-CN" w:bidi="ar-SA"/>
        </w:rPr>
        <w:t xml:space="preserve">项目类型 ：  </w:t>
      </w:r>
      <w:r>
        <w:rPr>
          <w:rFonts w:hint="eastAsia" w:ascii="微软雅黑" w:hAnsi="微软雅黑" w:eastAsia="微软雅黑" w:cs="微软雅黑"/>
          <w:b/>
          <w:bCs/>
          <w:kern w:val="2"/>
          <w:sz w:val="32"/>
          <w:szCs w:val="32"/>
          <w:lang w:val="en-US" w:eastAsia="zh-CN" w:bidi="ar-SA"/>
        </w:rPr>
        <w:t>□工程；</w:t>
      </w:r>
      <w:r>
        <w:rPr>
          <w:rFonts w:hint="eastAsia" w:ascii="微软雅黑" w:hAnsi="微软雅黑" w:eastAsia="微软雅黑" w:cs="微软雅黑"/>
          <w:spacing w:val="-58"/>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☑货物；</w:t>
      </w:r>
      <w:r>
        <w:rPr>
          <w:rFonts w:hint="eastAsia" w:ascii="微软雅黑" w:hAnsi="微软雅黑" w:eastAsia="微软雅黑" w:cs="微软雅黑"/>
          <w:spacing w:val="-66"/>
          <w:kern w:val="2"/>
          <w:sz w:val="32"/>
          <w:szCs w:val="32"/>
          <w:lang w:val="en-US" w:eastAsia="zh-CN" w:bidi="ar-SA"/>
        </w:rPr>
        <w:t xml:space="preserve"> </w:t>
      </w:r>
      <w:r>
        <w:rPr>
          <w:rFonts w:hint="eastAsia" w:ascii="微软雅黑" w:hAnsi="微软雅黑" w:eastAsia="微软雅黑" w:cs="微软雅黑"/>
          <w:spacing w:val="-68"/>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□服务；</w:t>
      </w:r>
      <w:r>
        <w:rPr>
          <w:rFonts w:hint="eastAsia" w:ascii="微软雅黑" w:hAnsi="微软雅黑" w:eastAsia="微软雅黑" w:cs="微软雅黑"/>
          <w:spacing w:val="-68"/>
          <w:kern w:val="2"/>
          <w:sz w:val="32"/>
          <w:szCs w:val="32"/>
          <w:lang w:val="en-US" w:eastAsia="zh-CN" w:bidi="ar-SA"/>
        </w:rPr>
        <w:t xml:space="preserve"> </w:t>
      </w:r>
      <w:r>
        <w:rPr>
          <w:rFonts w:hint="eastAsia" w:ascii="微软雅黑" w:hAnsi="微软雅黑" w:eastAsia="微软雅黑" w:cs="微软雅黑"/>
          <w:b/>
          <w:bCs/>
          <w:kern w:val="2"/>
          <w:sz w:val="32"/>
          <w:szCs w:val="32"/>
          <w:lang w:val="en-US" w:eastAsia="zh-CN" w:bidi="ar-SA"/>
        </w:rPr>
        <w:t>□其他：</w:t>
      </w:r>
    </w:p>
    <w:p w14:paraId="65BDD727">
      <w:pPr>
        <w:widowControl w:val="0"/>
        <w:spacing w:before="261" w:line="184" w:lineRule="auto"/>
        <w:ind w:left="40"/>
        <w:jc w:val="both"/>
        <w:rPr>
          <w:rFonts w:hint="eastAsia" w:ascii="微软雅黑" w:hAnsi="微软雅黑" w:eastAsia="微软雅黑" w:cs="微软雅黑"/>
          <w:b/>
          <w:bCs/>
          <w:spacing w:val="-2"/>
          <w:kern w:val="2"/>
          <w:sz w:val="32"/>
          <w:szCs w:val="32"/>
          <w:lang w:val="en-US" w:eastAsia="zh-CN" w:bidi="ar-SA"/>
        </w:rPr>
      </w:pPr>
    </w:p>
    <w:p w14:paraId="4CE09535">
      <w:pPr>
        <w:widowControl w:val="0"/>
        <w:spacing w:before="261" w:line="184" w:lineRule="auto"/>
        <w:ind w:left="40" w:leftChars="0" w:firstLine="379" w:firstLineChars="120"/>
        <w:jc w:val="both"/>
        <w:rPr>
          <w:rFonts w:hint="eastAsia" w:ascii="微软雅黑" w:hAnsi="微软雅黑" w:eastAsia="微软雅黑" w:cs="微软雅黑"/>
          <w:kern w:val="2"/>
          <w:sz w:val="32"/>
          <w:szCs w:val="32"/>
          <w:lang w:val="en-US" w:eastAsia="zh-CN" w:bidi="ar-SA"/>
        </w:rPr>
      </w:pPr>
      <w:r>
        <w:rPr>
          <w:rFonts w:hint="eastAsia" w:ascii="微软雅黑" w:hAnsi="微软雅黑" w:eastAsia="微软雅黑" w:cs="微软雅黑"/>
          <w:b/>
          <w:bCs/>
          <w:spacing w:val="-2"/>
          <w:kern w:val="2"/>
          <w:sz w:val="32"/>
          <w:szCs w:val="32"/>
          <w:lang w:val="en-US" w:eastAsia="zh-CN" w:bidi="ar-SA"/>
        </w:rPr>
        <w:t>需求部门 ：  全院</w:t>
      </w:r>
    </w:p>
    <w:p w14:paraId="6BD7C11D">
      <w:pPr>
        <w:widowControl w:val="0"/>
        <w:spacing w:before="256" w:line="184" w:lineRule="auto"/>
        <w:ind w:left="37"/>
        <w:jc w:val="both"/>
        <w:rPr>
          <w:rFonts w:hint="eastAsia" w:ascii="微软雅黑" w:hAnsi="微软雅黑" w:eastAsia="微软雅黑" w:cs="微软雅黑"/>
          <w:b/>
          <w:bCs/>
          <w:spacing w:val="-1"/>
          <w:kern w:val="2"/>
          <w:sz w:val="32"/>
          <w:szCs w:val="32"/>
          <w:lang w:val="en-US" w:eastAsia="zh-CN" w:bidi="ar-SA"/>
        </w:rPr>
      </w:pPr>
    </w:p>
    <w:p w14:paraId="14C362AC">
      <w:pPr>
        <w:widowControl w:val="0"/>
        <w:numPr>
          <w:ilvl w:val="0"/>
          <w:numId w:val="0"/>
        </w:numPr>
        <w:tabs>
          <w:tab w:val="left" w:pos="1045"/>
        </w:tabs>
        <w:ind w:left="0" w:leftChars="0" w:firstLine="420" w:firstLineChars="132"/>
        <w:jc w:val="left"/>
        <w:outlineLvl w:val="9"/>
        <w:rPr>
          <w:rFonts w:hint="eastAsia" w:ascii="微软雅黑" w:hAnsi="微软雅黑" w:eastAsia="微软雅黑" w:cs="微软雅黑"/>
          <w:kern w:val="2"/>
          <w:sz w:val="28"/>
          <w:szCs w:val="28"/>
          <w:lang w:val="en-US" w:eastAsia="zh-CN" w:bidi="ar-SA"/>
        </w:rPr>
        <w:sectPr>
          <w:pgSz w:w="11906" w:h="16839"/>
          <w:pgMar w:top="1431" w:right="1041" w:bottom="0" w:left="1785" w:header="0" w:footer="0" w:gutter="0"/>
          <w:pgNumType w:fmt="decimal"/>
          <w:cols w:space="720" w:num="1"/>
        </w:sectPr>
      </w:pPr>
      <w:r>
        <w:rPr>
          <w:rFonts w:hint="eastAsia" w:ascii="微软雅黑" w:hAnsi="微软雅黑" w:eastAsia="微软雅黑" w:cs="微软雅黑"/>
          <w:b/>
          <w:bCs/>
          <w:spacing w:val="-1"/>
          <w:kern w:val="2"/>
          <w:sz w:val="32"/>
          <w:szCs w:val="32"/>
          <w:lang w:val="en-US" w:eastAsia="zh-CN" w:bidi="ar-SA"/>
        </w:rPr>
        <w:t>项目名称 ：  医保影像云跨省秒调阅</w:t>
      </w:r>
    </w:p>
    <w:p w14:paraId="3794CB9B">
      <w:pPr>
        <w:pStyle w:val="2"/>
        <w:widowControl/>
        <w:numPr>
          <w:ilvl w:val="0"/>
          <w:numId w:val="1"/>
        </w:numPr>
        <w:tabs>
          <w:tab w:val="left" w:pos="1043"/>
        </w:tabs>
        <w:topLinePunct w:val="0"/>
        <w:ind w:left="-420" w:leftChars="0" w:firstLine="562" w:firstLineChars="200"/>
        <w:rPr>
          <w:b/>
          <w:sz w:val="28"/>
          <w:szCs w:val="28"/>
        </w:rPr>
      </w:pPr>
      <w:r>
        <w:rPr>
          <w:sz w:val="28"/>
          <w:szCs w:val="28"/>
        </w:rPr>
        <w:t>项目概述</w:t>
      </w:r>
    </w:p>
    <w:p w14:paraId="2C469DCB">
      <w:pPr>
        <w:pStyle w:val="15"/>
        <w:widowControl/>
        <w:rPr>
          <w:rFonts w:hint="eastAsia" w:eastAsia="宋体"/>
          <w:b w:val="0"/>
          <w:color w:val="auto"/>
          <w:sz w:val="28"/>
          <w:szCs w:val="28"/>
          <w:lang w:eastAsia="zh-CN"/>
        </w:rPr>
      </w:pPr>
      <w:r>
        <w:rPr>
          <w:b w:val="0"/>
          <w:color w:val="auto"/>
          <w:sz w:val="28"/>
          <w:szCs w:val="28"/>
        </w:rPr>
        <w:t>项目名称：</w:t>
      </w:r>
      <w:r>
        <w:rPr>
          <w:rFonts w:hint="eastAsia"/>
          <w:b w:val="0"/>
          <w:color w:val="auto"/>
          <w:sz w:val="28"/>
          <w:szCs w:val="28"/>
          <w:lang w:eastAsia="zh-CN"/>
        </w:rPr>
        <w:t>医保影像云跨省秒调阅</w:t>
      </w:r>
    </w:p>
    <w:p w14:paraId="1507301E">
      <w:pPr>
        <w:pStyle w:val="15"/>
        <w:ind w:left="0" w:leftChars="0" w:firstLine="560" w:firstLineChars="200"/>
        <w:rPr>
          <w:rFonts w:hint="eastAsia"/>
          <w:b w:val="0"/>
          <w:color w:val="000000"/>
          <w:sz w:val="28"/>
          <w:szCs w:val="28"/>
          <w:lang w:eastAsia="zh-CN"/>
        </w:rPr>
      </w:pPr>
      <w:r>
        <w:rPr>
          <w:rFonts w:hint="eastAsia"/>
          <w:b w:val="0"/>
          <w:color w:val="000000"/>
          <w:sz w:val="28"/>
          <w:szCs w:val="28"/>
          <w:lang w:eastAsia="zh-CN"/>
        </w:rPr>
        <w:t>建设背景：</w:t>
      </w:r>
      <w:bookmarkStart w:id="0" w:name="_GoBack"/>
      <w:r>
        <w:rPr>
          <w:rFonts w:hint="eastAsia"/>
          <w:b w:val="0"/>
          <w:color w:val="000000"/>
          <w:sz w:val="28"/>
          <w:szCs w:val="28"/>
          <w:lang w:eastAsia="zh-CN"/>
        </w:rPr>
        <w:t>为贯彻落实党的二十届四中全会精神，破解群众就医过程中的痛点堵点问题，国家医疗保障局部署组建医保影像云跨省秒调阅医院网络，推动医保影像数据跨省互通共享。方便调阅所接诊患者在全国的医学影像检查资料，进一步优化跨省就医流程，提升群众看病就医获得感。</w:t>
      </w:r>
      <w:bookmarkEnd w:id="0"/>
      <w:r>
        <w:rPr>
          <w:rFonts w:hint="eastAsia"/>
          <w:b w:val="0"/>
          <w:color w:val="000000"/>
          <w:sz w:val="28"/>
          <w:szCs w:val="28"/>
          <w:lang w:eastAsia="zh-CN"/>
        </w:rPr>
        <w:t>上饶市人民医院被入选为第一批成员单位名单，共同推动构建“数据多跑路、群众少跑腿”的就医服务新格局。</w:t>
      </w:r>
    </w:p>
    <w:p w14:paraId="6556DF5C">
      <w:pPr>
        <w:pStyle w:val="2"/>
        <w:widowControl/>
        <w:numPr>
          <w:ilvl w:val="0"/>
          <w:numId w:val="1"/>
        </w:numPr>
        <w:tabs>
          <w:tab w:val="left" w:pos="1043"/>
        </w:tabs>
        <w:topLinePunct w:val="0"/>
        <w:ind w:left="-420" w:leftChars="0" w:firstLine="562" w:firstLineChars="200"/>
        <w:rPr>
          <w:sz w:val="28"/>
          <w:szCs w:val="28"/>
        </w:rPr>
      </w:pPr>
      <w:r>
        <w:rPr>
          <w:sz w:val="28"/>
          <w:szCs w:val="28"/>
        </w:rPr>
        <w:t>项目技术</w:t>
      </w:r>
      <w:r>
        <w:rPr>
          <w:rFonts w:hint="eastAsia"/>
          <w:sz w:val="28"/>
          <w:szCs w:val="28"/>
          <w:lang w:eastAsia="zh-CN"/>
        </w:rPr>
        <w:t>要求</w:t>
      </w:r>
    </w:p>
    <w:p w14:paraId="1E457605">
      <w:pPr>
        <w:keepNext w:val="0"/>
        <w:keepLines w:val="0"/>
        <w:widowControl/>
        <w:numPr>
          <w:ilvl w:val="0"/>
          <w:numId w:val="0"/>
        </w:numPr>
        <w:suppressLineNumbers w:val="0"/>
        <w:ind w:firstLine="560"/>
        <w:jc w:val="left"/>
        <w:rPr>
          <w:rFonts w:hint="eastAsia"/>
          <w:color w:val="auto"/>
          <w:sz w:val="28"/>
          <w:szCs w:val="28"/>
          <w:lang w:val="en-US" w:eastAsia="zh-CN"/>
        </w:rPr>
      </w:pPr>
      <w:r>
        <w:rPr>
          <w:rFonts w:hint="eastAsia"/>
          <w:color w:val="auto"/>
          <w:sz w:val="28"/>
          <w:szCs w:val="28"/>
          <w:lang w:val="en-US" w:eastAsia="zh-CN"/>
        </w:rPr>
        <w:t>根据国家医疗保障局跨省秒调阅技术规范，结合江西省现有一部委一平</w:t>
      </w:r>
      <w:r>
        <w:rPr>
          <w:rFonts w:hint="eastAsia"/>
          <w:color w:val="auto"/>
          <w:sz w:val="28"/>
          <w:szCs w:val="28"/>
          <w:highlight w:val="none"/>
          <w:lang w:val="en-US" w:eastAsia="zh-CN"/>
        </w:rPr>
        <w:t>台建设及通信网络资源情况，依托全国医保影像云节点资源、骨干OTN传输专网、</w:t>
      </w:r>
      <w:r>
        <w:rPr>
          <w:rFonts w:hint="eastAsia"/>
          <w:strike w:val="0"/>
          <w:dstrike w:val="0"/>
          <w:color w:val="auto"/>
          <w:sz w:val="28"/>
          <w:szCs w:val="28"/>
          <w:highlight w:val="none"/>
          <w:lang w:val="en-US" w:eastAsia="zh-CN"/>
        </w:rPr>
        <w:t>采用前置机硬件模式</w:t>
      </w:r>
      <w:r>
        <w:rPr>
          <w:rFonts w:hint="eastAsia"/>
          <w:color w:val="auto"/>
          <w:sz w:val="28"/>
          <w:szCs w:val="28"/>
          <w:highlight w:val="none"/>
          <w:lang w:val="en-US" w:eastAsia="zh-CN"/>
        </w:rPr>
        <w:t>，江西省医保信息平台、江西省全民健康信息平台，通过三医协同，覆盖算力</w:t>
      </w:r>
      <w:r>
        <w:rPr>
          <w:rFonts w:hint="eastAsia"/>
          <w:color w:val="auto"/>
          <w:sz w:val="28"/>
          <w:szCs w:val="28"/>
          <w:lang w:val="en-US" w:eastAsia="zh-CN"/>
        </w:rPr>
        <w:t>承载、专线传输、网络调度、安全防护全环节，配套完整报价清单，支撑医院顺利接入全国医保影像互通体系，量身打造上饶市人民医院医保影像云跨省秒调完整落地解决方案。</w:t>
      </w:r>
    </w:p>
    <w:p w14:paraId="129A211D">
      <w:pPr>
        <w:keepNext w:val="0"/>
        <w:keepLines w:val="0"/>
        <w:widowControl/>
        <w:numPr>
          <w:ilvl w:val="0"/>
          <w:numId w:val="0"/>
        </w:numPr>
        <w:suppressLineNumbers w:val="0"/>
        <w:ind w:firstLine="560"/>
        <w:jc w:val="left"/>
        <w:rPr>
          <w:rFonts w:hint="eastAsia"/>
          <w:color w:val="auto"/>
          <w:sz w:val="28"/>
          <w:szCs w:val="28"/>
          <w:lang w:val="en-US" w:eastAsia="zh-CN"/>
        </w:rPr>
      </w:pPr>
      <w:r>
        <w:rPr>
          <w:rFonts w:hint="eastAsia"/>
          <w:b/>
          <w:bCs/>
          <w:color w:val="auto"/>
          <w:sz w:val="28"/>
          <w:szCs w:val="28"/>
          <w:lang w:val="en-US" w:eastAsia="zh-CN"/>
        </w:rPr>
        <w:t>（一）高带宽专线。</w:t>
      </w:r>
      <w:r>
        <w:rPr>
          <w:rFonts w:hint="eastAsia"/>
          <w:color w:val="auto"/>
          <w:sz w:val="28"/>
          <w:szCs w:val="28"/>
          <w:lang w:val="en-US" w:eastAsia="zh-CN"/>
        </w:rPr>
        <w:t>根据医院的年就诊量在200万例及冗余要求，拟配置一条200M的OTN专用网络。OTN（光传送网）是面向政企专线、跨省医疗数据互通的新一代光层传输技术，专为大带宽、低时延、高可靠医疗影像数据流传输设计，可承载DICOM影像、海量CT/核磁高清胶片数据包长距离无损传输。</w:t>
      </w:r>
    </w:p>
    <w:p w14:paraId="289BB7BD">
      <w:pPr>
        <w:keepNext w:val="0"/>
        <w:keepLines w:val="0"/>
        <w:widowControl/>
        <w:numPr>
          <w:ilvl w:val="0"/>
          <w:numId w:val="0"/>
        </w:numPr>
        <w:suppressLineNumbers w:val="0"/>
        <w:ind w:firstLine="560"/>
        <w:jc w:val="left"/>
        <w:rPr>
          <w:rFonts w:hint="eastAsia"/>
          <w:color w:val="auto"/>
          <w:sz w:val="28"/>
          <w:szCs w:val="28"/>
          <w:lang w:val="en-US" w:eastAsia="zh-CN"/>
        </w:rPr>
      </w:pPr>
      <w:r>
        <w:rPr>
          <w:rFonts w:hint="eastAsia"/>
          <w:color w:val="auto"/>
          <w:sz w:val="28"/>
          <w:szCs w:val="28"/>
          <w:lang w:val="en-US" w:eastAsia="zh-CN"/>
        </w:rPr>
        <w:t> 1、超低时延，实现跨省秒调；OTN骨干网具备刚性带宽隔离、端到端时延可控能力，省际骨干节点直连，省去公网路由跳转损耗，异地医保影像调取请求可做到毫秒级响应，真正达成政策要求的“跨省秒调”。</w:t>
      </w:r>
    </w:p>
    <w:p w14:paraId="3F854591">
      <w:pPr>
        <w:keepNext w:val="0"/>
        <w:keepLines w:val="0"/>
        <w:widowControl/>
        <w:numPr>
          <w:ilvl w:val="0"/>
          <w:numId w:val="0"/>
        </w:numPr>
        <w:suppressLineNumbers w:val="0"/>
        <w:ind w:firstLine="560"/>
        <w:jc w:val="left"/>
        <w:rPr>
          <w:rFonts w:hint="eastAsia"/>
          <w:color w:val="auto"/>
          <w:sz w:val="28"/>
          <w:szCs w:val="28"/>
          <w:lang w:val="en-US" w:eastAsia="zh-CN"/>
        </w:rPr>
      </w:pPr>
      <w:r>
        <w:rPr>
          <w:rFonts w:hint="eastAsia"/>
          <w:color w:val="auto"/>
          <w:sz w:val="28"/>
          <w:szCs w:val="28"/>
          <w:lang w:val="en-US" w:eastAsia="zh-CN"/>
        </w:rPr>
        <w:t>2、大带宽无损传输，适配高清影像单份多层CT、核磁影像数据包可达数百MB，OTN支持带宽灵活扩容，无丢包、无压缩、画质无损传输，影像阅片清晰度不受传输链路影响，满足临床诊断标准。</w:t>
      </w:r>
      <w:r>
        <w:rPr>
          <w:rFonts w:hint="eastAsia"/>
          <w:color w:val="auto"/>
          <w:sz w:val="28"/>
          <w:szCs w:val="28"/>
          <w:lang w:val="en-US" w:eastAsia="zh-CN"/>
        </w:rPr>
        <w:br w:type="textWrapping"/>
      </w:r>
      <w:r>
        <w:rPr>
          <w:rFonts w:hint="eastAsia"/>
          <w:color w:val="auto"/>
          <w:sz w:val="28"/>
          <w:szCs w:val="28"/>
          <w:lang w:val="en-US" w:eastAsia="zh-CN"/>
        </w:rPr>
        <w:t xml:space="preserve">    3、物理隔离，医疗数据合规安全；OTN为物理硬隔离专线，不和互联网流量混跑，专属传输通道加密传输，完全符合《医疗机构病历管理规定》《医保数据安全规范》。</w:t>
      </w:r>
    </w:p>
    <w:p w14:paraId="074895BC">
      <w:pPr>
        <w:keepNext w:val="0"/>
        <w:keepLines w:val="0"/>
        <w:widowControl/>
        <w:numPr>
          <w:ilvl w:val="0"/>
          <w:numId w:val="0"/>
        </w:numPr>
        <w:suppressLineNumbers w:val="0"/>
        <w:ind w:firstLine="560"/>
        <w:jc w:val="left"/>
        <w:rPr>
          <w:rFonts w:hint="eastAsia"/>
          <w:color w:val="auto"/>
          <w:sz w:val="28"/>
          <w:szCs w:val="28"/>
          <w:lang w:val="en-US" w:eastAsia="zh-CN"/>
        </w:rPr>
      </w:pPr>
      <w:r>
        <w:rPr>
          <w:rFonts w:hint="eastAsia"/>
          <w:color w:val="auto"/>
          <w:sz w:val="28"/>
          <w:szCs w:val="28"/>
          <w:lang w:val="en-US" w:eastAsia="zh-CN"/>
        </w:rPr>
        <w:t>4、高可靠性冗余架构；全网双路由、双节点冗余备份，链路故障自动倒换，倒换时间＜50ms，7×24小时不间断在线；电信全国骨干OTN网络覆盖所有省级医保节点，任意异地医保定点医疗机构均可快速互联互通。</w:t>
      </w:r>
    </w:p>
    <w:p w14:paraId="0827BB6D">
      <w:pPr>
        <w:keepNext w:val="0"/>
        <w:keepLines w:val="0"/>
        <w:widowControl/>
        <w:numPr>
          <w:ilvl w:val="0"/>
          <w:numId w:val="0"/>
        </w:numPr>
        <w:suppressLineNumbers w:val="0"/>
        <w:ind w:firstLine="560"/>
        <w:jc w:val="left"/>
        <w:rPr>
          <w:rFonts w:hint="eastAsia"/>
          <w:color w:val="auto"/>
          <w:sz w:val="28"/>
          <w:szCs w:val="28"/>
          <w:lang w:val="en-US" w:eastAsia="zh-CN"/>
        </w:rPr>
      </w:pPr>
      <w:r>
        <w:rPr>
          <w:rFonts w:hint="eastAsia"/>
          <w:color w:val="auto"/>
          <w:sz w:val="28"/>
          <w:szCs w:val="28"/>
          <w:lang w:val="en-US" w:eastAsia="zh-CN"/>
        </w:rPr>
        <w:t>5. 带宽弹性可调后期医院影像存储量、异地调取并发量上涨时，可在线平滑扩容带宽，无需重新布线、重新施工，扩容周期短，不中断现有医保业务运行。</w:t>
      </w:r>
    </w:p>
    <w:p w14:paraId="2E3B1141">
      <w:pPr>
        <w:keepNext w:val="0"/>
        <w:keepLines w:val="0"/>
        <w:widowControl/>
        <w:suppressLineNumbers w:val="0"/>
        <w:ind w:firstLine="562" w:firstLineChars="200"/>
        <w:jc w:val="left"/>
        <w:rPr>
          <w:rFonts w:hint="default"/>
          <w:color w:val="auto"/>
          <w:sz w:val="28"/>
          <w:szCs w:val="28"/>
          <w:lang w:val="en-US" w:eastAsia="zh-CN"/>
        </w:rPr>
      </w:pPr>
      <w:r>
        <w:rPr>
          <w:rFonts w:hint="eastAsia"/>
          <w:b/>
          <w:bCs/>
          <w:color w:val="auto"/>
          <w:sz w:val="28"/>
          <w:szCs w:val="28"/>
          <w:lang w:val="en-US" w:eastAsia="zh-CN"/>
        </w:rPr>
        <w:t>（二）医院前置机。</w:t>
      </w:r>
      <w:r>
        <w:rPr>
          <w:rFonts w:hint="eastAsia"/>
          <w:color w:val="auto"/>
          <w:sz w:val="28"/>
          <w:szCs w:val="28"/>
          <w:lang w:val="en-US" w:eastAsia="zh-CN"/>
        </w:rPr>
        <w:t>部署在医院，负责影像自动上传、本地缓存、院内医师调阅；年就诊量在200万左右，需要配置前置机要求：CPU</w:t>
      </w:r>
      <w:r>
        <w:rPr>
          <w:rFonts w:hint="eastAsia" w:ascii="宋体" w:hAnsi="宋体" w:eastAsia="宋体" w:cs="宋体"/>
          <w:color w:val="auto"/>
          <w:sz w:val="28"/>
          <w:szCs w:val="28"/>
          <w:lang w:val="en-US" w:eastAsia="zh-CN"/>
        </w:rPr>
        <w:t>≧</w:t>
      </w:r>
      <w:r>
        <w:rPr>
          <w:rFonts w:hint="eastAsia"/>
          <w:color w:val="auto"/>
          <w:sz w:val="28"/>
          <w:szCs w:val="28"/>
          <w:lang w:val="en-US" w:eastAsia="zh-CN"/>
        </w:rPr>
        <w:t>32核，内存</w:t>
      </w:r>
      <w:r>
        <w:rPr>
          <w:rFonts w:hint="eastAsia" w:ascii="宋体" w:hAnsi="宋体" w:eastAsia="宋体" w:cs="宋体"/>
          <w:color w:val="auto"/>
          <w:sz w:val="28"/>
          <w:szCs w:val="28"/>
          <w:lang w:val="en-US" w:eastAsia="zh-CN"/>
        </w:rPr>
        <w:t>≧</w:t>
      </w:r>
      <w:r>
        <w:rPr>
          <w:rFonts w:hint="eastAsia"/>
          <w:color w:val="auto"/>
          <w:sz w:val="28"/>
          <w:szCs w:val="28"/>
          <w:lang w:val="en-US" w:eastAsia="zh-CN"/>
        </w:rPr>
        <w:t>32核，数据盘</w:t>
      </w:r>
      <w:r>
        <w:rPr>
          <w:rFonts w:hint="eastAsia" w:ascii="宋体" w:hAnsi="宋体" w:eastAsia="宋体" w:cs="宋体"/>
          <w:color w:val="auto"/>
          <w:sz w:val="28"/>
          <w:szCs w:val="28"/>
          <w:lang w:val="en-US" w:eastAsia="zh-CN"/>
        </w:rPr>
        <w:t>≧8T，配置满足国家信创要求。</w:t>
      </w:r>
    </w:p>
    <w:p w14:paraId="1484F3D0">
      <w:pPr>
        <w:keepNext w:val="0"/>
        <w:keepLines w:val="0"/>
        <w:widowControl/>
        <w:suppressLineNumbers w:val="0"/>
        <w:ind w:firstLine="560"/>
        <w:jc w:val="left"/>
        <w:rPr>
          <w:rFonts w:hint="eastAsia"/>
          <w:b/>
          <w:bCs/>
          <w:color w:val="auto"/>
          <w:sz w:val="28"/>
          <w:szCs w:val="28"/>
          <w:lang w:val="en-US" w:eastAsia="zh-CN"/>
        </w:rPr>
      </w:pPr>
      <w:r>
        <w:rPr>
          <w:rFonts w:hint="eastAsia"/>
          <w:b/>
          <w:bCs/>
          <w:color w:val="auto"/>
          <w:sz w:val="28"/>
          <w:szCs w:val="28"/>
          <w:lang w:val="en-US" w:eastAsia="zh-CN"/>
        </w:rPr>
        <w:t>（三）业务流程</w:t>
      </w:r>
    </w:p>
    <w:p w14:paraId="3A47A6DE">
      <w:pPr>
        <w:keepNext w:val="0"/>
        <w:keepLines w:val="0"/>
        <w:widowControl/>
        <w:suppressLineNumbers w:val="0"/>
        <w:ind w:firstLine="560"/>
        <w:jc w:val="left"/>
        <w:rPr>
          <w:rFonts w:hint="eastAsia"/>
          <w:color w:val="auto"/>
          <w:sz w:val="28"/>
          <w:szCs w:val="28"/>
          <w:lang w:val="en-US" w:eastAsia="zh-CN"/>
        </w:rPr>
      </w:pPr>
      <w:r>
        <w:rPr>
          <w:rFonts w:hint="eastAsia"/>
          <w:color w:val="auto"/>
          <w:sz w:val="28"/>
          <w:szCs w:val="28"/>
          <w:lang w:val="en-US" w:eastAsia="zh-CN"/>
        </w:rPr>
        <w:t>1. 影像上传：限时上传，三维重建图像必须同步提交影像报告出具后24小时内完成全部影像上传，急诊影像优先上传；CT三维重建、肋骨重建等后处理图像，需和原始扫描图像一并上传。系统具备自动监测、漏传重传机制，未按时上传的数据将自动补传。</w:t>
      </w:r>
      <w:r>
        <w:rPr>
          <w:rFonts w:hint="eastAsia"/>
          <w:color w:val="auto"/>
          <w:sz w:val="28"/>
          <w:szCs w:val="28"/>
          <w:lang w:val="en-US" w:eastAsia="zh-CN"/>
        </w:rPr>
        <w:br w:type="textWrapping"/>
      </w:r>
      <w:r>
        <w:rPr>
          <w:rFonts w:hint="eastAsia"/>
          <w:color w:val="auto"/>
          <w:sz w:val="28"/>
          <w:szCs w:val="28"/>
          <w:lang w:val="en-US" w:eastAsia="zh-CN"/>
        </w:rPr>
        <w:t xml:space="preserve">    2. 挂号自动缓存历史影像，从源头减少重复检查。患者完成挂号后，系统自动调取本省及外省全部历史影像缓存至医院前置机：医师开具检查医嘱时，系统自动弹窗提示患者同部位历史影像，方便新旧病灶对比，减少无指征重复拍片，降低患者辐射与就医支出，同时节约医保基金。</w:t>
      </w:r>
      <w:r>
        <w:rPr>
          <w:rFonts w:hint="eastAsia"/>
          <w:color w:val="auto"/>
          <w:sz w:val="28"/>
          <w:szCs w:val="28"/>
          <w:lang w:val="en-US" w:eastAsia="zh-CN"/>
        </w:rPr>
        <w:br w:type="textWrapping"/>
      </w:r>
      <w:r>
        <w:rPr>
          <w:rFonts w:hint="eastAsia"/>
          <w:color w:val="auto"/>
          <w:sz w:val="28"/>
          <w:szCs w:val="28"/>
          <w:lang w:val="en-US" w:eastAsia="zh-CN"/>
        </w:rPr>
        <w:t xml:space="preserve">    3. 跨院调阅需患者授权，阅片速度设置硬性指标。医生调阅患者影像，必须通过医保码、刷脸、短信、电子签名等方式获取患者授权，所有调阅记录全程留痕上传至医保平台。</w:t>
      </w:r>
    </w:p>
    <w:p w14:paraId="42D85ACD">
      <w:pPr>
        <w:keepNext w:val="0"/>
        <w:keepLines w:val="0"/>
        <w:widowControl/>
        <w:suppressLineNumbers w:val="0"/>
        <w:ind w:firstLine="560"/>
        <w:jc w:val="left"/>
        <w:rPr>
          <w:rFonts w:hint="eastAsia"/>
          <w:color w:val="auto"/>
          <w:sz w:val="28"/>
          <w:szCs w:val="28"/>
          <w:lang w:val="en-US" w:eastAsia="zh-CN"/>
        </w:rPr>
      </w:pPr>
      <w:r>
        <w:rPr>
          <w:rFonts w:hint="eastAsia"/>
          <w:color w:val="auto"/>
          <w:sz w:val="28"/>
          <w:szCs w:val="28"/>
          <w:lang w:val="en-US" w:eastAsia="zh-CN"/>
        </w:rPr>
        <w:t>4. 患者手机端随时查看影像，支持加密分享。参保人多渠道登录个人端，可查看全部DICOM原始影像与电子报告；分享影像可设置密码、有效期限、查看次数，随时撤销分享。</w:t>
      </w:r>
    </w:p>
    <w:p w14:paraId="2646C2A3">
      <w:pPr>
        <w:keepNext w:val="0"/>
        <w:keepLines w:val="0"/>
        <w:widowControl/>
        <w:suppressLineNumbers w:val="0"/>
        <w:ind w:firstLine="560"/>
        <w:jc w:val="left"/>
        <w:rPr>
          <w:rFonts w:hint="eastAsia"/>
          <w:b/>
          <w:bCs/>
          <w:color w:val="auto"/>
          <w:sz w:val="28"/>
          <w:szCs w:val="28"/>
          <w:lang w:val="en-US" w:eastAsia="zh-CN"/>
        </w:rPr>
      </w:pPr>
      <w:r>
        <w:rPr>
          <w:rFonts w:hint="eastAsia"/>
          <w:b/>
          <w:bCs/>
          <w:color w:val="auto"/>
          <w:sz w:val="28"/>
          <w:szCs w:val="28"/>
          <w:lang w:val="en-US" w:eastAsia="zh-CN"/>
        </w:rPr>
        <w:t>（四）影像存储</w:t>
      </w:r>
    </w:p>
    <w:p w14:paraId="0B0C21B6">
      <w:pPr>
        <w:keepNext w:val="0"/>
        <w:keepLines w:val="0"/>
        <w:widowControl/>
        <w:suppressLineNumbers w:val="0"/>
        <w:ind w:firstLine="560"/>
        <w:jc w:val="left"/>
        <w:rPr>
          <w:rFonts w:hint="eastAsia"/>
          <w:color w:val="auto"/>
          <w:sz w:val="28"/>
          <w:szCs w:val="28"/>
          <w:lang w:val="en-US" w:eastAsia="zh-CN"/>
        </w:rPr>
      </w:pPr>
      <w:r>
        <w:rPr>
          <w:rFonts w:hint="eastAsia"/>
          <w:color w:val="auto"/>
          <w:sz w:val="28"/>
          <w:szCs w:val="28"/>
          <w:lang w:val="en-US" w:eastAsia="zh-CN"/>
        </w:rPr>
        <w:t>1. 存储年限严格区分，分层存储控制成本。门诊影像云端存储不少于15年，住院影像不少于30年。</w:t>
      </w:r>
      <w:r>
        <w:rPr>
          <w:rFonts w:hint="eastAsia"/>
          <w:color w:val="auto"/>
          <w:sz w:val="28"/>
          <w:szCs w:val="28"/>
          <w:lang w:val="en-US" w:eastAsia="zh-CN"/>
        </w:rPr>
        <w:br w:type="textWrapping"/>
      </w:r>
      <w:r>
        <w:rPr>
          <w:rFonts w:hint="eastAsia"/>
          <w:color w:val="auto"/>
          <w:sz w:val="28"/>
          <w:szCs w:val="28"/>
          <w:lang w:val="en-US" w:eastAsia="zh-CN"/>
        </w:rPr>
        <w:t xml:space="preserve">   2. 七条图像质控底线，违规影像不予入库。影像必须为真实人体扫描图像，禁止水模、动物、模型影像；严禁篡改DICOM标签、拼接不同患者、不同时段检查图像；原始扫描片+三维重建图像完整上传，不得删减序列；图像、报告、医保结算信息中患者、检查部位信息完全匹配；影像采用DICOM3.0及以上标准无损压缩上传；</w:t>
      </w:r>
    </w:p>
    <w:p w14:paraId="13A5499A">
      <w:pPr>
        <w:keepNext w:val="0"/>
        <w:keepLines w:val="0"/>
        <w:widowControl/>
        <w:suppressLineNumbers w:val="0"/>
        <w:ind w:firstLine="562" w:firstLineChars="200"/>
        <w:jc w:val="left"/>
        <w:rPr>
          <w:rFonts w:hint="eastAsia"/>
          <w:b/>
          <w:bCs/>
          <w:color w:val="auto"/>
          <w:sz w:val="28"/>
          <w:szCs w:val="28"/>
          <w:lang w:val="en-US" w:eastAsia="zh-CN"/>
        </w:rPr>
      </w:pPr>
      <w:r>
        <w:rPr>
          <w:rFonts w:hint="eastAsia"/>
          <w:b/>
          <w:bCs/>
          <w:color w:val="auto"/>
          <w:sz w:val="28"/>
          <w:szCs w:val="28"/>
          <w:lang w:val="en-US" w:eastAsia="zh-CN"/>
        </w:rPr>
        <w:t>（五）数据安全</w:t>
      </w:r>
    </w:p>
    <w:p w14:paraId="05AD9AA0">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整套医保影像必须通</w:t>
      </w:r>
      <w:r>
        <w:rPr>
          <w:rFonts w:hint="eastAsia"/>
          <w:color w:val="auto"/>
          <w:sz w:val="28"/>
          <w:szCs w:val="28"/>
          <w:highlight w:val="none"/>
          <w:lang w:val="en-US" w:eastAsia="zh-CN"/>
        </w:rPr>
        <w:t>过，多重安全防护体系：全链路传输、静态存储均加密，优先采用国密算法，</w:t>
      </w:r>
      <w:r>
        <w:rPr>
          <w:rFonts w:hint="eastAsia"/>
          <w:color w:val="auto"/>
          <w:sz w:val="28"/>
          <w:szCs w:val="28"/>
          <w:lang w:val="en-US" w:eastAsia="zh-CN"/>
        </w:rPr>
        <w:t>密钥由硬件安全设备统一管理；遵循最小权限原则，区分管理员、医师、患者操作权限，越权访问实时告警；上传、调阅、分享、登录全操作日志留存不少于6个月，日志防篡改、可溯源；</w:t>
      </w:r>
      <w:r>
        <w:rPr>
          <w:rFonts w:hint="eastAsia"/>
          <w:color w:val="auto"/>
          <w:sz w:val="28"/>
          <w:szCs w:val="28"/>
          <w:highlight w:val="none"/>
          <w:lang w:val="en-US" w:eastAsia="zh-CN"/>
        </w:rPr>
        <w:t>影像数据用于AI科研、大数据分析时，必须做不可逆匿名化处理；定期开展渗透测试、应急演练；报废存储介质需多次覆写或物理销</w:t>
      </w:r>
      <w:r>
        <w:rPr>
          <w:rFonts w:hint="eastAsia"/>
          <w:color w:val="auto"/>
          <w:sz w:val="28"/>
          <w:szCs w:val="28"/>
          <w:lang w:val="en-US" w:eastAsia="zh-CN"/>
        </w:rPr>
        <w:t>毁，杜绝患者影像信息泄露。</w:t>
      </w:r>
    </w:p>
    <w:p w14:paraId="560CC0C6">
      <w:pPr>
        <w:ind w:firstLine="281" w:firstLineChars="100"/>
        <w:rPr>
          <w:rFonts w:hint="default" w:ascii="宋体" w:hAnsi="宋体" w:eastAsia="宋体" w:cs="宋体"/>
          <w:i w:val="0"/>
          <w:iCs w:val="0"/>
          <w:color w:val="auto"/>
          <w:kern w:val="0"/>
          <w:sz w:val="22"/>
          <w:szCs w:val="22"/>
          <w:u w:val="none"/>
          <w:lang w:val="en-US" w:eastAsia="zh-CN" w:bidi="ar"/>
        </w:rPr>
      </w:pPr>
      <w:r>
        <w:rPr>
          <w:rFonts w:hint="eastAsia"/>
          <w:b/>
          <w:bCs/>
          <w:color w:val="auto"/>
          <w:sz w:val="28"/>
          <w:szCs w:val="28"/>
          <w:lang w:val="en-US" w:eastAsia="zh-CN"/>
        </w:rPr>
        <w:t>（六）方案清单</w:t>
      </w:r>
    </w:p>
    <w:tbl>
      <w:tblPr>
        <w:tblStyle w:val="27"/>
        <w:tblW w:w="9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62"/>
        <w:gridCol w:w="1497"/>
        <w:gridCol w:w="1717"/>
        <w:gridCol w:w="4041"/>
        <w:gridCol w:w="662"/>
        <w:gridCol w:w="663"/>
      </w:tblGrid>
      <w:tr w14:paraId="2C89E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l2br w:val="nil"/>
              <w:tr2bl w:val="nil"/>
            </w:tcBorders>
            <w:shd w:val="clear" w:color="auto" w:fill="auto"/>
            <w:noWrap/>
            <w:vAlign w:val="center"/>
          </w:tcPr>
          <w:p w14:paraId="338162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序号</w:t>
            </w:r>
          </w:p>
        </w:tc>
        <w:tc>
          <w:tcPr>
            <w:tcW w:w="1497" w:type="dxa"/>
            <w:tcBorders>
              <w:tl2br w:val="nil"/>
              <w:tr2bl w:val="nil"/>
            </w:tcBorders>
            <w:shd w:val="clear" w:color="auto" w:fill="auto"/>
            <w:noWrap/>
            <w:vAlign w:val="center"/>
          </w:tcPr>
          <w:p w14:paraId="6D8115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类别</w:t>
            </w:r>
          </w:p>
        </w:tc>
        <w:tc>
          <w:tcPr>
            <w:tcW w:w="1717" w:type="dxa"/>
            <w:tcBorders>
              <w:tl2br w:val="nil"/>
              <w:tr2bl w:val="nil"/>
            </w:tcBorders>
            <w:shd w:val="clear" w:color="auto" w:fill="auto"/>
            <w:vAlign w:val="center"/>
          </w:tcPr>
          <w:p w14:paraId="141273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项目名称</w:t>
            </w:r>
          </w:p>
        </w:tc>
        <w:tc>
          <w:tcPr>
            <w:tcW w:w="4042" w:type="dxa"/>
            <w:tcBorders>
              <w:tl2br w:val="nil"/>
              <w:tr2bl w:val="nil"/>
            </w:tcBorders>
            <w:shd w:val="clear" w:color="auto" w:fill="auto"/>
            <w:vAlign w:val="center"/>
          </w:tcPr>
          <w:p w14:paraId="39DB0D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技术规格</w:t>
            </w:r>
          </w:p>
        </w:tc>
        <w:tc>
          <w:tcPr>
            <w:tcW w:w="0" w:type="auto"/>
            <w:tcBorders>
              <w:tl2br w:val="nil"/>
              <w:tr2bl w:val="nil"/>
            </w:tcBorders>
            <w:shd w:val="clear" w:color="auto" w:fill="auto"/>
            <w:noWrap/>
            <w:vAlign w:val="center"/>
          </w:tcPr>
          <w:p w14:paraId="3598D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val="0"/>
                <w:dstrike w:val="0"/>
                <w:color w:val="auto"/>
                <w:kern w:val="0"/>
                <w:sz w:val="22"/>
                <w:szCs w:val="22"/>
                <w:u w:val="none"/>
                <w:lang w:val="en-US" w:eastAsia="zh-CN" w:bidi="ar"/>
              </w:rPr>
            </w:pPr>
            <w:r>
              <w:rPr>
                <w:rFonts w:hint="eastAsia" w:ascii="宋体" w:hAnsi="宋体" w:eastAsia="宋体" w:cs="宋体"/>
                <w:b/>
                <w:i w:val="0"/>
                <w:iCs w:val="0"/>
                <w:strike w:val="0"/>
                <w:dstrike w:val="0"/>
                <w:color w:val="auto"/>
                <w:kern w:val="0"/>
                <w:sz w:val="22"/>
                <w:szCs w:val="22"/>
                <w:u w:val="none"/>
                <w:lang w:val="en-US" w:eastAsia="zh-CN" w:bidi="ar"/>
              </w:rPr>
              <w:t>数量</w:t>
            </w:r>
          </w:p>
        </w:tc>
        <w:tc>
          <w:tcPr>
            <w:tcW w:w="663" w:type="dxa"/>
            <w:tcBorders>
              <w:tl2br w:val="nil"/>
              <w:tr2bl w:val="nil"/>
            </w:tcBorders>
            <w:shd w:val="clear" w:color="auto" w:fill="auto"/>
            <w:noWrap/>
            <w:vAlign w:val="center"/>
          </w:tcPr>
          <w:p w14:paraId="03B48C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val="0"/>
                <w:dstrike w:val="0"/>
                <w:color w:val="auto"/>
                <w:kern w:val="0"/>
                <w:sz w:val="22"/>
                <w:szCs w:val="22"/>
                <w:u w:val="none"/>
                <w:lang w:val="en-US" w:eastAsia="zh-CN" w:bidi="ar"/>
              </w:rPr>
            </w:pPr>
            <w:r>
              <w:rPr>
                <w:rFonts w:hint="eastAsia" w:ascii="宋体" w:hAnsi="宋体" w:eastAsia="宋体" w:cs="宋体"/>
                <w:b/>
                <w:i w:val="0"/>
                <w:iCs w:val="0"/>
                <w:strike w:val="0"/>
                <w:dstrike w:val="0"/>
                <w:color w:val="auto"/>
                <w:kern w:val="0"/>
                <w:sz w:val="22"/>
                <w:szCs w:val="22"/>
                <w:u w:val="none"/>
                <w:lang w:val="en-US" w:eastAsia="zh-CN" w:bidi="ar"/>
              </w:rPr>
              <w:t>单位</w:t>
            </w:r>
          </w:p>
        </w:tc>
      </w:tr>
      <w:tr w14:paraId="08586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28DFAC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497" w:type="dxa"/>
            <w:tcBorders>
              <w:tl2br w:val="nil"/>
              <w:tr2bl w:val="nil"/>
            </w:tcBorders>
            <w:shd w:val="clear" w:color="auto" w:fill="auto"/>
            <w:noWrap/>
            <w:vAlign w:val="center"/>
          </w:tcPr>
          <w:p w14:paraId="707589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网络</w:t>
            </w:r>
          </w:p>
        </w:tc>
        <w:tc>
          <w:tcPr>
            <w:tcW w:w="1717" w:type="dxa"/>
            <w:tcBorders>
              <w:tl2br w:val="nil"/>
              <w:tr2bl w:val="nil"/>
            </w:tcBorders>
            <w:shd w:val="clear" w:color="auto" w:fill="auto"/>
            <w:vAlign w:val="center"/>
          </w:tcPr>
          <w:p w14:paraId="5B88C1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跨省影像专线服务</w:t>
            </w:r>
          </w:p>
        </w:tc>
        <w:tc>
          <w:tcPr>
            <w:tcW w:w="4042" w:type="dxa"/>
            <w:tcBorders>
              <w:tl2br w:val="nil"/>
              <w:tr2bl w:val="nil"/>
            </w:tcBorders>
            <w:shd w:val="clear" w:color="auto" w:fill="auto"/>
            <w:vAlign w:val="center"/>
          </w:tcPr>
          <w:p w14:paraId="7949A5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跨省专线速率200M，辅助完成云胶片数据秒级上传。</w:t>
            </w:r>
          </w:p>
        </w:tc>
        <w:tc>
          <w:tcPr>
            <w:tcW w:w="0" w:type="auto"/>
            <w:tcBorders>
              <w:tl2br w:val="nil"/>
              <w:tr2bl w:val="nil"/>
            </w:tcBorders>
            <w:shd w:val="clear" w:color="auto" w:fill="auto"/>
            <w:noWrap/>
            <w:vAlign w:val="center"/>
          </w:tcPr>
          <w:p w14:paraId="6AF090CB">
            <w:pPr>
              <w:keepNext w:val="0"/>
              <w:keepLines w:val="0"/>
              <w:widowControl/>
              <w:suppressLineNumbers w:val="0"/>
              <w:jc w:val="center"/>
              <w:textAlignment w:val="center"/>
              <w:rPr>
                <w:rFonts w:hint="default"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663" w:type="dxa"/>
            <w:tcBorders>
              <w:tl2br w:val="nil"/>
              <w:tr2bl w:val="nil"/>
            </w:tcBorders>
            <w:shd w:val="clear" w:color="auto" w:fill="auto"/>
            <w:noWrap/>
            <w:vAlign w:val="center"/>
          </w:tcPr>
          <w:p w14:paraId="70E44824">
            <w:pPr>
              <w:keepNext w:val="0"/>
              <w:keepLines w:val="0"/>
              <w:widowControl/>
              <w:suppressLineNumbers w:val="0"/>
              <w:jc w:val="center"/>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条</w:t>
            </w:r>
          </w:p>
        </w:tc>
      </w:tr>
      <w:tr w14:paraId="40697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430A45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c>
          <w:tcPr>
            <w:tcW w:w="1497" w:type="dxa"/>
            <w:vMerge w:val="restart"/>
            <w:tcBorders>
              <w:tl2br w:val="nil"/>
              <w:tr2bl w:val="nil"/>
            </w:tcBorders>
            <w:shd w:val="clear" w:color="auto" w:fill="auto"/>
            <w:noWrap/>
            <w:vAlign w:val="center"/>
          </w:tcPr>
          <w:p w14:paraId="12F2E5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前置机硬件</w:t>
            </w:r>
          </w:p>
        </w:tc>
        <w:tc>
          <w:tcPr>
            <w:tcW w:w="1717" w:type="dxa"/>
            <w:tcBorders>
              <w:tl2br w:val="nil"/>
              <w:tr2bl w:val="nil"/>
            </w:tcBorders>
            <w:shd w:val="clear" w:color="auto" w:fill="auto"/>
            <w:vAlign w:val="center"/>
          </w:tcPr>
          <w:p w14:paraId="55C90D92">
            <w:pPr>
              <w:keepNext w:val="0"/>
              <w:keepLines w:val="0"/>
              <w:widowControl/>
              <w:numPr>
                <w:ilvl w:val="0"/>
                <w:numId w:val="0"/>
              </w:numPr>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前置机服务器</w:t>
            </w:r>
          </w:p>
        </w:tc>
        <w:tc>
          <w:tcPr>
            <w:tcW w:w="4042" w:type="dxa"/>
            <w:tcBorders>
              <w:tl2br w:val="nil"/>
              <w:tr2bl w:val="nil"/>
            </w:tcBorders>
            <w:shd w:val="clear" w:color="auto" w:fill="auto"/>
            <w:vAlign w:val="center"/>
          </w:tcPr>
          <w:p w14:paraId="6A35949C">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-CPU：≥32核（主频≥2.6GHz）</w:t>
            </w:r>
          </w:p>
          <w:p w14:paraId="0F573FE7">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-内存：≥32GB</w:t>
            </w:r>
          </w:p>
          <w:p w14:paraId="4F3F8DCB">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-系统盘：≥2×480GB SSD</w:t>
            </w:r>
          </w:p>
          <w:p w14:paraId="7ADDEB00">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-数据盘：≥8TB SAS（或企业级SATA）硬盘，支持RAID，配置RAID卡</w:t>
            </w:r>
          </w:p>
        </w:tc>
        <w:tc>
          <w:tcPr>
            <w:tcW w:w="0" w:type="auto"/>
            <w:tcBorders>
              <w:tl2br w:val="nil"/>
              <w:tr2bl w:val="nil"/>
            </w:tcBorders>
            <w:shd w:val="clear" w:color="auto" w:fill="auto"/>
            <w:noWrap/>
            <w:vAlign w:val="center"/>
          </w:tcPr>
          <w:p w14:paraId="3C2A40F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663" w:type="dxa"/>
            <w:tcBorders>
              <w:tl2br w:val="nil"/>
              <w:tr2bl w:val="nil"/>
            </w:tcBorders>
            <w:shd w:val="clear" w:color="auto" w:fill="auto"/>
            <w:noWrap/>
            <w:vAlign w:val="center"/>
          </w:tcPr>
          <w:p w14:paraId="7AFD385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r>
      <w:tr w14:paraId="354D8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0" w:type="auto"/>
            <w:tcBorders>
              <w:tl2br w:val="nil"/>
              <w:tr2bl w:val="nil"/>
            </w:tcBorders>
            <w:shd w:val="clear" w:color="auto" w:fill="auto"/>
            <w:noWrap/>
            <w:vAlign w:val="center"/>
          </w:tcPr>
          <w:p w14:paraId="42D9CE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c>
          <w:tcPr>
            <w:tcW w:w="1497" w:type="dxa"/>
            <w:vMerge w:val="continue"/>
            <w:tcBorders>
              <w:tl2br w:val="nil"/>
              <w:tr2bl w:val="nil"/>
            </w:tcBorders>
            <w:shd w:val="clear" w:color="auto" w:fill="auto"/>
            <w:noWrap/>
            <w:vAlign w:val="center"/>
          </w:tcPr>
          <w:p w14:paraId="3DC3C9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717" w:type="dxa"/>
            <w:tcBorders>
              <w:tl2br w:val="nil"/>
              <w:tr2bl w:val="nil"/>
            </w:tcBorders>
            <w:shd w:val="clear" w:color="auto" w:fill="auto"/>
            <w:vAlign w:val="center"/>
          </w:tcPr>
          <w:p w14:paraId="26A67C78">
            <w:pPr>
              <w:keepNext w:val="0"/>
              <w:keepLines w:val="0"/>
              <w:widowControl/>
              <w:numPr>
                <w:ilvl w:val="0"/>
                <w:numId w:val="0"/>
              </w:numPr>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接入交换机</w:t>
            </w:r>
          </w:p>
        </w:tc>
        <w:tc>
          <w:tcPr>
            <w:tcW w:w="4042" w:type="dxa"/>
            <w:tcBorders>
              <w:tl2br w:val="nil"/>
              <w:tr2bl w:val="nil"/>
            </w:tcBorders>
            <w:shd w:val="clear" w:color="auto" w:fill="auto"/>
            <w:vAlign w:val="center"/>
          </w:tcPr>
          <w:p w14:paraId="02B3FDCB">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千兆接入交换机（4*10GE+48*1GE）</w:t>
            </w:r>
          </w:p>
        </w:tc>
        <w:tc>
          <w:tcPr>
            <w:tcW w:w="0" w:type="auto"/>
            <w:tcBorders>
              <w:tl2br w:val="nil"/>
              <w:tr2bl w:val="nil"/>
            </w:tcBorders>
            <w:shd w:val="clear" w:color="auto" w:fill="auto"/>
            <w:noWrap/>
            <w:vAlign w:val="center"/>
          </w:tcPr>
          <w:p w14:paraId="294B271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663" w:type="dxa"/>
            <w:tcBorders>
              <w:tl2br w:val="nil"/>
              <w:tr2bl w:val="nil"/>
            </w:tcBorders>
            <w:shd w:val="clear" w:color="auto" w:fill="auto"/>
            <w:noWrap/>
            <w:vAlign w:val="center"/>
          </w:tcPr>
          <w:p w14:paraId="22AD066A">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kern w:val="0"/>
                <w:sz w:val="22"/>
                <w:szCs w:val="22"/>
                <w:u w:val="none"/>
                <w:lang w:val="en-US" w:eastAsia="zh-CN" w:bidi="ar"/>
              </w:rPr>
              <w:t>台</w:t>
            </w:r>
          </w:p>
        </w:tc>
      </w:tr>
      <w:tr w14:paraId="47E66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vMerge w:val="restart"/>
            <w:tcBorders>
              <w:tl2br w:val="nil"/>
              <w:tr2bl w:val="nil"/>
            </w:tcBorders>
            <w:shd w:val="clear" w:color="auto" w:fill="auto"/>
            <w:noWrap/>
            <w:vAlign w:val="center"/>
          </w:tcPr>
          <w:p w14:paraId="3C20DA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497" w:type="dxa"/>
            <w:vMerge w:val="restart"/>
            <w:tcBorders>
              <w:tl2br w:val="nil"/>
              <w:tr2bl w:val="nil"/>
            </w:tcBorders>
            <w:shd w:val="clear" w:color="auto" w:fill="auto"/>
            <w:noWrap/>
            <w:vAlign w:val="center"/>
          </w:tcPr>
          <w:p w14:paraId="16876C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数据安全</w:t>
            </w:r>
          </w:p>
        </w:tc>
        <w:tc>
          <w:tcPr>
            <w:tcW w:w="1717" w:type="dxa"/>
            <w:tcBorders>
              <w:tl2br w:val="nil"/>
              <w:tr2bl w:val="nil"/>
            </w:tcBorders>
            <w:shd w:val="clear" w:color="auto" w:fill="auto"/>
            <w:vAlign w:val="center"/>
          </w:tcPr>
          <w:p w14:paraId="187057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防火墙</w:t>
            </w:r>
          </w:p>
        </w:tc>
        <w:tc>
          <w:tcPr>
            <w:tcW w:w="4042" w:type="dxa"/>
            <w:tcBorders>
              <w:tl2br w:val="nil"/>
              <w:tr2bl w:val="nil"/>
            </w:tcBorders>
            <w:shd w:val="clear" w:color="auto" w:fill="auto"/>
            <w:vAlign w:val="center"/>
          </w:tcPr>
          <w:p w14:paraId="104AB285">
            <w:pPr>
              <w:pStyle w:val="49"/>
              <w:numPr>
                <w:ilvl w:val="0"/>
                <w:numId w:val="0"/>
              </w:numPr>
              <w:snapToGrid w:val="0"/>
              <w:ind w:left="0" w:leftChars="0" w:right="0" w:rightChars="0" w:firstLine="0" w:firstLineChars="0"/>
              <w:jc w:val="left"/>
              <w:rPr>
                <w:rFonts w:hint="eastAsia" w:ascii="宋体" w:hAnsi="宋体" w:eastAsia="宋体" w:cs="宋体"/>
                <w:i w:val="0"/>
                <w:iCs w:val="0"/>
                <w:color w:val="auto"/>
                <w:sz w:val="22"/>
                <w:szCs w:val="22"/>
                <w:u w:val="none"/>
                <w:lang w:val="en-US" w:eastAsia="zh-CN"/>
              </w:rPr>
            </w:pPr>
            <w:r>
              <w:rPr>
                <w:rFonts w:hint="eastAsia" w:ascii="宋体" w:hAnsi="宋体" w:eastAsia="宋体" w:cs="宋体"/>
                <w:color w:val="auto"/>
                <w:sz w:val="22"/>
                <w:szCs w:val="22"/>
              </w:rPr>
              <w:t>具备包过滤、状态检测、地址转换、IP/MAC绑定、策略路由、流量会话管理、抗拒绝服务攻击等网络层控制功能，具备应用协议访问控制、应用内容访问控制、用户管控、入侵防御、恶意代码防护、WEB攻击防护、信息泄露防护等应用层控制功能，具备运维管理、安全审计、报警、安全管理、高可靠性、升级等安全运维管理功能;支持透明和路由模式部署，并支持在纯IPv6网络环境和IPv6过渡网络环境下工作。（提供所投产品经过第三方检测机构出具的有CMA或CNAS标识的检测报告，且检测报告中产品描述为上述功能内容</w:t>
            </w:r>
            <w:r>
              <w:rPr>
                <w:rFonts w:hint="eastAsia" w:ascii="宋体" w:hAnsi="宋体" w:eastAsia="宋体" w:cs="宋体"/>
                <w:color w:val="auto"/>
                <w:sz w:val="22"/>
                <w:szCs w:val="22"/>
                <w:lang w:eastAsia="zh-CN"/>
              </w:rPr>
              <w:t>）</w:t>
            </w:r>
          </w:p>
        </w:tc>
        <w:tc>
          <w:tcPr>
            <w:tcW w:w="0" w:type="auto"/>
            <w:tcBorders>
              <w:tl2br w:val="nil"/>
              <w:tr2bl w:val="nil"/>
            </w:tcBorders>
            <w:shd w:val="clear" w:color="auto" w:fill="auto"/>
            <w:noWrap/>
            <w:vAlign w:val="center"/>
          </w:tcPr>
          <w:p w14:paraId="4E13C8D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663" w:type="dxa"/>
            <w:tcBorders>
              <w:tl2br w:val="nil"/>
              <w:tr2bl w:val="nil"/>
            </w:tcBorders>
            <w:shd w:val="clear" w:color="auto" w:fill="auto"/>
            <w:noWrap/>
            <w:vAlign w:val="center"/>
          </w:tcPr>
          <w:p w14:paraId="0E9F87F3">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台</w:t>
            </w:r>
          </w:p>
        </w:tc>
      </w:tr>
      <w:tr w14:paraId="5F38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l2br w:val="nil"/>
              <w:tr2bl w:val="nil"/>
            </w:tcBorders>
            <w:shd w:val="clear" w:color="auto" w:fill="auto"/>
            <w:noWrap/>
            <w:vAlign w:val="center"/>
          </w:tcPr>
          <w:p w14:paraId="0438A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497" w:type="dxa"/>
            <w:vMerge w:val="continue"/>
            <w:tcBorders>
              <w:tl2br w:val="nil"/>
              <w:tr2bl w:val="nil"/>
            </w:tcBorders>
            <w:shd w:val="clear" w:color="auto" w:fill="auto"/>
            <w:noWrap/>
            <w:vAlign w:val="center"/>
          </w:tcPr>
          <w:p w14:paraId="560DCC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717" w:type="dxa"/>
            <w:tcBorders>
              <w:tl2br w:val="nil"/>
              <w:tr2bl w:val="nil"/>
            </w:tcBorders>
            <w:shd w:val="clear" w:color="auto" w:fill="auto"/>
            <w:vAlign w:val="center"/>
          </w:tcPr>
          <w:p w14:paraId="083650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SOC</w:t>
            </w:r>
          </w:p>
        </w:tc>
        <w:tc>
          <w:tcPr>
            <w:tcW w:w="4042" w:type="dxa"/>
            <w:tcBorders>
              <w:tl2br w:val="nil"/>
              <w:tr2bl w:val="nil"/>
            </w:tcBorders>
            <w:shd w:val="clear" w:color="auto" w:fill="auto"/>
            <w:vAlign w:val="center"/>
          </w:tcPr>
          <w:p w14:paraId="5125793C">
            <w:pPr>
              <w:pStyle w:val="49"/>
              <w:numPr>
                <w:ilvl w:val="0"/>
                <w:numId w:val="0"/>
              </w:numPr>
              <w:snapToGrid w:val="0"/>
              <w:ind w:left="0" w:leftChars="0" w:right="0" w:rightChars="0" w:firstLine="0" w:firstLineChars="0"/>
              <w:jc w:val="left"/>
              <w:rPr>
                <w:rFonts w:hint="eastAsia" w:ascii="宋体" w:hAnsi="宋体" w:eastAsia="宋体" w:cs="宋体"/>
                <w:color w:val="auto"/>
                <w:sz w:val="22"/>
                <w:szCs w:val="22"/>
                <w:lang w:eastAsia="zh-CN"/>
              </w:rPr>
            </w:pPr>
            <w:r>
              <w:rPr>
                <w:rFonts w:hint="eastAsia" w:ascii="宋体" w:eastAsia="宋体"/>
                <w:color w:val="auto"/>
                <w:sz w:val="22"/>
              </w:rPr>
              <w:t>支持通过SOC平台完成全域异构安全设备海量日志全量采集汇聚，可对多厂商、多类型安全设备原始日志完成归一化清洗、标准化范式解析与结构化处理；依托多场景安全规则引擎、多维时序关联分析、行为基线建模技术实现安全告警智能收敛降噪、误报自动过滤，精准溯源攻击链路、识别隐蔽渗透入侵行为，高效挖掘全网真实高危安全风险，支撑安全事件闭环研判处置</w:t>
            </w:r>
            <w:r>
              <w:rPr>
                <w:rFonts w:hint="eastAsia" w:ascii="宋体" w:eastAsia="宋体"/>
                <w:color w:val="auto"/>
                <w:sz w:val="22"/>
                <w:lang w:eastAsia="zh-CN"/>
              </w:rPr>
              <w:t>。</w:t>
            </w:r>
          </w:p>
        </w:tc>
        <w:tc>
          <w:tcPr>
            <w:tcW w:w="0" w:type="auto"/>
            <w:tcBorders>
              <w:tl2br w:val="nil"/>
              <w:tr2bl w:val="nil"/>
            </w:tcBorders>
            <w:shd w:val="clear" w:color="auto" w:fill="auto"/>
            <w:noWrap/>
            <w:vAlign w:val="center"/>
          </w:tcPr>
          <w:p w14:paraId="7C9D6D0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663" w:type="dxa"/>
            <w:tcBorders>
              <w:tl2br w:val="nil"/>
              <w:tr2bl w:val="nil"/>
            </w:tcBorders>
            <w:shd w:val="clear" w:color="auto" w:fill="auto"/>
            <w:noWrap/>
            <w:vAlign w:val="center"/>
          </w:tcPr>
          <w:p w14:paraId="55F8C555">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r>
      <w:tr w14:paraId="1648A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shd w:val="clear" w:color="auto" w:fill="auto"/>
            <w:noWrap/>
            <w:vAlign w:val="center"/>
          </w:tcPr>
          <w:p w14:paraId="449350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497" w:type="dxa"/>
            <w:vMerge w:val="continue"/>
            <w:tcBorders>
              <w:tl2br w:val="nil"/>
              <w:tr2bl w:val="nil"/>
            </w:tcBorders>
            <w:shd w:val="clear" w:color="auto" w:fill="auto"/>
            <w:noWrap/>
            <w:vAlign w:val="center"/>
          </w:tcPr>
          <w:p w14:paraId="1A5235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717" w:type="dxa"/>
            <w:tcBorders>
              <w:tl2br w:val="nil"/>
              <w:tr2bl w:val="nil"/>
            </w:tcBorders>
            <w:shd w:val="clear" w:color="auto" w:fill="auto"/>
            <w:vAlign w:val="center"/>
          </w:tcPr>
          <w:p w14:paraId="0A6ADDC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NAC+EDR</w:t>
            </w:r>
          </w:p>
        </w:tc>
        <w:tc>
          <w:tcPr>
            <w:tcW w:w="4042" w:type="dxa"/>
            <w:tcBorders>
              <w:tl2br w:val="nil"/>
              <w:tr2bl w:val="nil"/>
            </w:tcBorders>
            <w:shd w:val="clear" w:color="auto" w:fill="auto"/>
            <w:vAlign w:val="center"/>
          </w:tcPr>
          <w:p w14:paraId="3536211D">
            <w:pPr>
              <w:pStyle w:val="49"/>
              <w:numPr>
                <w:ilvl w:val="0"/>
                <w:numId w:val="0"/>
              </w:numPr>
              <w:snapToGrid w:val="0"/>
              <w:ind w:left="0" w:leftChars="0" w:right="0" w:rightChars="0" w:firstLine="0" w:firstLineChars="0"/>
              <w:jc w:val="left"/>
              <w:rPr>
                <w:rFonts w:hint="eastAsia" w:ascii="宋体" w:hAnsi="宋体" w:eastAsia="宋体" w:cs="宋体"/>
                <w:color w:val="auto"/>
                <w:sz w:val="22"/>
                <w:szCs w:val="22"/>
              </w:rPr>
            </w:pPr>
            <w:r>
              <w:rPr>
                <w:rFonts w:hint="eastAsia" w:ascii="宋体" w:hAnsi="宋体" w:eastAsia="宋体" w:cs="宋体"/>
                <w:color w:val="auto"/>
                <w:sz w:val="22"/>
                <w:szCs w:val="22"/>
              </w:rPr>
              <w:t>设备支持与企业版杀毒软件联动，检测终端是否安装杀毒软件、开启监控、是否存在高危系统漏洞等安全风险，可对存在安全风险终端采取阻断访问的措施，并可以发送告警给管理员，并提供企业杀毒软件下载页面，快速提高终端部署</w:t>
            </w:r>
          </w:p>
        </w:tc>
        <w:tc>
          <w:tcPr>
            <w:tcW w:w="0" w:type="auto"/>
            <w:tcBorders>
              <w:tl2br w:val="nil"/>
              <w:tr2bl w:val="nil"/>
            </w:tcBorders>
            <w:shd w:val="clear" w:color="auto" w:fill="auto"/>
            <w:noWrap/>
            <w:vAlign w:val="center"/>
          </w:tcPr>
          <w:p w14:paraId="157E14C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663" w:type="dxa"/>
            <w:tcBorders>
              <w:tl2br w:val="nil"/>
              <w:tr2bl w:val="nil"/>
            </w:tcBorders>
            <w:shd w:val="clear" w:color="auto" w:fill="auto"/>
            <w:noWrap/>
            <w:vAlign w:val="center"/>
          </w:tcPr>
          <w:p w14:paraId="6234A90C">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r>
      <w:tr w14:paraId="31F18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shd w:val="clear" w:color="auto" w:fill="auto"/>
            <w:noWrap/>
            <w:vAlign w:val="center"/>
          </w:tcPr>
          <w:p w14:paraId="7C608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497" w:type="dxa"/>
            <w:tcBorders>
              <w:tl2br w:val="nil"/>
              <w:tr2bl w:val="nil"/>
            </w:tcBorders>
            <w:shd w:val="clear" w:color="auto" w:fill="auto"/>
            <w:noWrap/>
            <w:vAlign w:val="center"/>
          </w:tcPr>
          <w:p w14:paraId="448A96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管理</w:t>
            </w:r>
          </w:p>
        </w:tc>
        <w:tc>
          <w:tcPr>
            <w:tcW w:w="1717" w:type="dxa"/>
            <w:tcBorders>
              <w:tl2br w:val="nil"/>
              <w:tr2bl w:val="nil"/>
            </w:tcBorders>
            <w:shd w:val="clear" w:color="auto" w:fill="auto"/>
            <w:vAlign w:val="center"/>
          </w:tcPr>
          <w:p w14:paraId="46F247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平台软件使用服务</w:t>
            </w:r>
          </w:p>
        </w:tc>
        <w:tc>
          <w:tcPr>
            <w:tcW w:w="4042" w:type="dxa"/>
            <w:tcBorders>
              <w:tl2br w:val="nil"/>
              <w:tr2bl w:val="nil"/>
            </w:tcBorders>
            <w:shd w:val="clear" w:color="auto" w:fill="auto"/>
            <w:vAlign w:val="center"/>
          </w:tcPr>
          <w:p w14:paraId="5682AA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提供国产操作系统+数据库，</w:t>
            </w:r>
          </w:p>
          <w:p w14:paraId="77FF07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数据库需满足：a.使用原生MySQL驱动连接的国产数据库。b.与国家医保局发布的“基线软件”完成适配验证。</w:t>
            </w:r>
          </w:p>
          <w:p w14:paraId="45C893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所使用的操作系统获得由公安部计算机信息系统安全产品质量监督检验中心颁发的《网络安全专用产品-安全操作系统第四级》</w:t>
            </w:r>
          </w:p>
          <w:p w14:paraId="388BD9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color w:val="auto"/>
                <w:sz w:val="22"/>
                <w:szCs w:val="22"/>
              </w:rPr>
            </w:pPr>
            <w:r>
              <w:rPr>
                <w:rFonts w:hint="eastAsia" w:ascii="宋体" w:hAnsi="宋体" w:eastAsia="宋体" w:cs="宋体"/>
                <w:b w:val="0"/>
                <w:bCs w:val="0"/>
                <w:color w:val="auto"/>
                <w:sz w:val="22"/>
                <w:szCs w:val="22"/>
                <w:highlight w:val="none"/>
                <w:lang w:val="en-US" w:eastAsia="zh-CN"/>
              </w:rPr>
              <w:t>所使用的数据库经过安可认证</w:t>
            </w:r>
          </w:p>
        </w:tc>
        <w:tc>
          <w:tcPr>
            <w:tcW w:w="0" w:type="auto"/>
            <w:tcBorders>
              <w:tl2br w:val="nil"/>
              <w:tr2bl w:val="nil"/>
            </w:tcBorders>
            <w:shd w:val="clear" w:color="auto" w:fill="auto"/>
            <w:noWrap/>
            <w:vAlign w:val="center"/>
          </w:tcPr>
          <w:p w14:paraId="1879693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663" w:type="dxa"/>
            <w:tcBorders>
              <w:tl2br w:val="nil"/>
              <w:tr2bl w:val="nil"/>
            </w:tcBorders>
            <w:shd w:val="clear" w:color="auto" w:fill="auto"/>
            <w:noWrap/>
            <w:vAlign w:val="center"/>
          </w:tcPr>
          <w:p w14:paraId="69CBB1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r>
    </w:tbl>
    <w:p w14:paraId="617C8BC8"/>
    <w:p w14:paraId="72888266">
      <w:pPr>
        <w:pStyle w:val="2"/>
        <w:widowControl/>
        <w:numPr>
          <w:ilvl w:val="0"/>
          <w:numId w:val="1"/>
        </w:numPr>
        <w:tabs>
          <w:tab w:val="left" w:pos="1043"/>
        </w:tabs>
        <w:topLinePunct w:val="0"/>
        <w:ind w:left="-420" w:leftChars="0" w:firstLine="562" w:firstLineChars="200"/>
        <w:rPr>
          <w:sz w:val="28"/>
          <w:szCs w:val="28"/>
        </w:rPr>
      </w:pPr>
      <w:r>
        <w:rPr>
          <w:sz w:val="28"/>
          <w:szCs w:val="28"/>
        </w:rPr>
        <w:t>售后服务与质保要求</w:t>
      </w:r>
    </w:p>
    <w:p w14:paraId="1AE5DBF5">
      <w:pPr>
        <w:pStyle w:val="3"/>
        <w:widowControl/>
        <w:numPr>
          <w:ilvl w:val="0"/>
          <w:numId w:val="2"/>
        </w:numPr>
        <w:tabs>
          <w:tab w:val="left" w:pos="981"/>
          <w:tab w:val="clear" w:pos="210"/>
        </w:tabs>
        <w:ind w:left="0" w:leftChars="0" w:firstLine="482" w:firstLineChars="200"/>
        <w:rPr>
          <w:b/>
          <w:sz w:val="24"/>
          <w:szCs w:val="24"/>
        </w:rPr>
      </w:pPr>
      <w:r>
        <w:rPr>
          <w:sz w:val="24"/>
          <w:szCs w:val="24"/>
        </w:rPr>
        <w:t>质保总则</w:t>
      </w:r>
    </w:p>
    <w:p w14:paraId="6C4C9116">
      <w:pPr>
        <w:pStyle w:val="15"/>
        <w:widowControl/>
        <w:numPr>
          <w:ilvl w:val="0"/>
          <w:numId w:val="0"/>
        </w:numPr>
        <w:ind w:left="630" w:leftChars="300"/>
        <w:rPr>
          <w:b w:val="0"/>
          <w:color w:val="000000"/>
          <w:sz w:val="24"/>
          <w:szCs w:val="24"/>
        </w:rPr>
      </w:pPr>
      <w:r>
        <w:rPr>
          <w:rFonts w:hint="eastAsia"/>
          <w:b w:val="0"/>
          <w:color w:val="000000"/>
          <w:sz w:val="24"/>
          <w:szCs w:val="24"/>
          <w:lang w:eastAsia="zh-CN"/>
        </w:rPr>
        <w:t>该项目硬件设备（前置机服务器、交换机、防火墙）</w:t>
      </w:r>
      <w:r>
        <w:rPr>
          <w:b w:val="0"/>
          <w:color w:val="000000"/>
          <w:sz w:val="24"/>
          <w:szCs w:val="24"/>
        </w:rPr>
        <w:t>享受叁年免费质保；</w:t>
      </w:r>
    </w:p>
    <w:p w14:paraId="08F6929E">
      <w:pPr>
        <w:pStyle w:val="15"/>
        <w:widowControl/>
        <w:numPr>
          <w:ilvl w:val="0"/>
          <w:numId w:val="0"/>
        </w:numPr>
        <w:ind w:left="630" w:leftChars="300"/>
        <w:rPr>
          <w:b w:val="0"/>
          <w:color w:val="000000"/>
          <w:sz w:val="24"/>
          <w:szCs w:val="24"/>
        </w:rPr>
      </w:pPr>
      <w:r>
        <w:rPr>
          <w:rFonts w:hint="eastAsia" w:ascii="Times New Roman" w:hAnsi="Times New Roman" w:eastAsia="宋体" w:cs="Times New Roman"/>
          <w:b w:val="0"/>
          <w:color w:val="000000"/>
          <w:sz w:val="24"/>
          <w:szCs w:val="24"/>
          <w:lang w:val="en-US" w:eastAsia="zh-CN"/>
        </w:rPr>
        <w:t>跨省影像专线服务、SOC 安全运营平台、NAC+EDR 终端安全系统、平台软件使用服务享受壹年质保；</w:t>
      </w:r>
    </w:p>
    <w:p w14:paraId="7068EC60">
      <w:pPr>
        <w:pStyle w:val="15"/>
        <w:widowControl/>
        <w:numPr>
          <w:ilvl w:val="0"/>
          <w:numId w:val="0"/>
        </w:numPr>
        <w:ind w:left="630" w:leftChars="300"/>
        <w:rPr>
          <w:b w:val="0"/>
          <w:color w:val="000000"/>
          <w:sz w:val="24"/>
          <w:szCs w:val="24"/>
        </w:rPr>
      </w:pPr>
      <w:r>
        <w:rPr>
          <w:b w:val="0"/>
          <w:color w:val="000000"/>
          <w:sz w:val="24"/>
          <w:szCs w:val="24"/>
        </w:rPr>
        <w:t>质保期自验收合格并签署《验收报告》之日起计算。</w:t>
      </w:r>
    </w:p>
    <w:p w14:paraId="2B423F2C">
      <w:pPr>
        <w:pStyle w:val="3"/>
        <w:widowControl/>
        <w:numPr>
          <w:ilvl w:val="0"/>
          <w:numId w:val="2"/>
        </w:numPr>
        <w:tabs>
          <w:tab w:val="left" w:pos="981"/>
          <w:tab w:val="clear" w:pos="210"/>
        </w:tabs>
        <w:ind w:left="0" w:leftChars="0" w:firstLine="482" w:firstLineChars="200"/>
        <w:rPr>
          <w:b/>
          <w:bCs/>
        </w:rPr>
      </w:pPr>
      <w:r>
        <w:rPr>
          <w:rFonts w:hint="eastAsia"/>
          <w:sz w:val="24"/>
          <w:szCs w:val="24"/>
          <w:lang w:eastAsia="zh-CN"/>
        </w:rPr>
        <w:t>质保服务内容</w:t>
      </w:r>
    </w:p>
    <w:p w14:paraId="5DC62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服务期内，本合同项目所有技术和服务发生故障时，由供应商负责系统恢复。故障报修的响应时间为即时，到达现场的时间为4小时内，小型故障恢复时间为2个小时内，严重故障恢复时间为8小时内，并及时有效的提供解决方案。</w:t>
      </w:r>
    </w:p>
    <w:p w14:paraId="67A1E6F2">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质保期内，对采购人提出的合理服务要求，供应商必须即时进行电话支持，并在4小时内到场服务。如不到场，采购人有权自行处理，相关费用由供应商负责。</w:t>
      </w:r>
    </w:p>
    <w:p w14:paraId="4273B7EF">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供应商提供定期回访服务，对采购人提出的合理优化建议应提供免费升级服务。</w:t>
      </w:r>
    </w:p>
    <w:p w14:paraId="2A53E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所有的服务方式均为供应商上门保修，即由供应商派员到系统使用现场进行故障恢复，由此产生的一切费用均由供应商承担。</w:t>
      </w:r>
    </w:p>
    <w:p w14:paraId="0EB9A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eastAsia="zh-CN"/>
        </w:rPr>
      </w:pPr>
      <w:r>
        <w:rPr>
          <w:rFonts w:hint="eastAsia" w:ascii="宋体" w:hAnsi="宋体" w:eastAsia="宋体" w:cs="宋体"/>
          <w:b w:val="0"/>
          <w:bCs w:val="0"/>
          <w:color w:val="000000"/>
          <w:sz w:val="24"/>
          <w:szCs w:val="24"/>
          <w:highlight w:val="none"/>
          <w:lang w:val="en-US" w:eastAsia="zh-CN"/>
        </w:rPr>
        <w:t>供应商提供产品操作培训方案，方案内容包括但不限于：培训方式、培训课时及培训目标成果等内容。</w:t>
      </w:r>
    </w:p>
    <w:p w14:paraId="5E7E1212">
      <w:pPr>
        <w:pStyle w:val="2"/>
        <w:widowControl/>
        <w:numPr>
          <w:ilvl w:val="0"/>
          <w:numId w:val="1"/>
        </w:numPr>
        <w:tabs>
          <w:tab w:val="left" w:pos="1043"/>
        </w:tabs>
        <w:topLinePunct w:val="0"/>
        <w:ind w:left="-420" w:leftChars="0" w:firstLine="562" w:firstLineChars="200"/>
        <w:rPr>
          <w:b/>
          <w:sz w:val="28"/>
          <w:szCs w:val="28"/>
        </w:rPr>
      </w:pPr>
      <w:r>
        <w:rPr>
          <w:sz w:val="28"/>
          <w:szCs w:val="28"/>
        </w:rPr>
        <w:t>报价与预算</w:t>
      </w:r>
    </w:p>
    <w:p w14:paraId="2110D693">
      <w:pPr>
        <w:pStyle w:val="3"/>
        <w:widowControl/>
        <w:numPr>
          <w:ilvl w:val="0"/>
          <w:numId w:val="0"/>
        </w:numPr>
        <w:tabs>
          <w:tab w:val="left" w:pos="1043"/>
        </w:tabs>
        <w:spacing w:before="0" w:after="0" w:line="240" w:lineRule="auto"/>
        <w:ind w:firstLine="482" w:firstLineChars="200"/>
        <w:rPr>
          <w:rFonts w:hint="eastAsia" w:ascii="宋体" w:hAnsi="宋体" w:eastAsia="宋体" w:cs="宋体"/>
          <w:b/>
          <w:sz w:val="24"/>
          <w:szCs w:val="24"/>
        </w:rPr>
      </w:pPr>
      <w:r>
        <w:rPr>
          <w:rFonts w:hint="eastAsia"/>
          <w:sz w:val="24"/>
          <w:szCs w:val="24"/>
          <w:lang w:val="en-US" w:eastAsia="zh-CN"/>
        </w:rPr>
        <w:t xml:space="preserve">4.1 </w:t>
      </w:r>
      <w:r>
        <w:rPr>
          <w:sz w:val="24"/>
          <w:szCs w:val="24"/>
        </w:rPr>
        <w:t>预算金额</w:t>
      </w:r>
    </w:p>
    <w:p w14:paraId="732A5095">
      <w:pPr>
        <w:pStyle w:val="15"/>
        <w:widowControl/>
        <w:ind w:left="0" w:leftChars="0" w:firstLine="480" w:firstLineChars="200"/>
        <w:rPr>
          <w:rFonts w:hint="eastAsia" w:eastAsia="宋体"/>
          <w:lang w:eastAsia="zh-CN"/>
        </w:rPr>
      </w:pPr>
      <w:r>
        <w:rPr>
          <w:rFonts w:hint="eastAsia"/>
          <w:b w:val="0"/>
          <w:color w:val="000000"/>
          <w:sz w:val="24"/>
          <w:szCs w:val="24"/>
          <w:lang w:eastAsia="zh-CN"/>
        </w:rPr>
        <w:t>本项目年度总预算为</w:t>
      </w:r>
      <w:r>
        <w:rPr>
          <w:rFonts w:hint="eastAsia"/>
          <w:b w:val="0"/>
          <w:color w:val="000000"/>
          <w:sz w:val="24"/>
          <w:szCs w:val="24"/>
          <w:lang w:val="en-US" w:eastAsia="zh-CN"/>
        </w:rPr>
        <w:t>22万元/年，投标报价不得超出该预算金额。报价按年度报价，报价涵盖</w:t>
      </w:r>
      <w:r>
        <w:rPr>
          <w:rFonts w:hint="eastAsia" w:ascii="宋体" w:hAnsi="宋体" w:eastAsia="宋体" w:cs="宋体"/>
          <w:sz w:val="24"/>
          <w:szCs w:val="24"/>
          <w:lang w:val="en-US" w:eastAsia="zh-CN"/>
        </w:rPr>
        <w:t>硬件、专线、软件、对接调试、双方接口费、运维服务、培训、配件、人工、税费等全部费用，采购人无需额外支付任何其他费用。</w:t>
      </w:r>
    </w:p>
    <w:p w14:paraId="7AFD45E6">
      <w:pPr>
        <w:pStyle w:val="3"/>
        <w:widowControl/>
        <w:numPr>
          <w:ilvl w:val="0"/>
          <w:numId w:val="0"/>
        </w:numPr>
        <w:tabs>
          <w:tab w:val="left" w:pos="1043"/>
        </w:tabs>
        <w:ind w:firstLine="482" w:firstLineChars="200"/>
        <w:rPr>
          <w:b/>
          <w:sz w:val="24"/>
          <w:szCs w:val="24"/>
        </w:rPr>
      </w:pPr>
      <w:r>
        <w:rPr>
          <w:rFonts w:hint="eastAsia"/>
          <w:sz w:val="24"/>
          <w:szCs w:val="24"/>
          <w:lang w:val="en-US" w:eastAsia="zh-CN"/>
        </w:rPr>
        <w:t>4.2</w:t>
      </w:r>
      <w:r>
        <w:rPr>
          <w:sz w:val="24"/>
          <w:szCs w:val="24"/>
        </w:rPr>
        <w:t>报价要求</w:t>
      </w:r>
    </w:p>
    <w:p w14:paraId="0B616594">
      <w:pPr>
        <w:pStyle w:val="15"/>
        <w:widowControl/>
        <w:ind w:left="0" w:leftChars="0" w:firstLine="480" w:firstLineChars="200"/>
        <w:rPr>
          <w:b w:val="0"/>
          <w:color w:val="000000"/>
          <w:sz w:val="24"/>
          <w:szCs w:val="24"/>
        </w:rPr>
      </w:pPr>
      <w:r>
        <w:rPr>
          <w:b w:val="0"/>
          <w:color w:val="000000"/>
          <w:sz w:val="24"/>
          <w:szCs w:val="24"/>
        </w:rPr>
        <w:t>投标人须提供以下分项报价清单：</w:t>
      </w:r>
    </w:p>
    <w:tbl>
      <w:tblPr>
        <w:tblStyle w:val="27"/>
        <w:tblW w:w="9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41"/>
        <w:gridCol w:w="1265"/>
        <w:gridCol w:w="2615"/>
        <w:gridCol w:w="1609"/>
        <w:gridCol w:w="743"/>
        <w:gridCol w:w="743"/>
        <w:gridCol w:w="1526"/>
      </w:tblGrid>
      <w:tr w14:paraId="4F4A3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41" w:type="dxa"/>
            <w:tcBorders>
              <w:tl2br w:val="nil"/>
              <w:tr2bl w:val="nil"/>
            </w:tcBorders>
            <w:shd w:val="clear" w:color="auto" w:fill="auto"/>
            <w:noWrap/>
            <w:vAlign w:val="center"/>
          </w:tcPr>
          <w:p w14:paraId="47A772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序号</w:t>
            </w:r>
          </w:p>
        </w:tc>
        <w:tc>
          <w:tcPr>
            <w:tcW w:w="1265" w:type="dxa"/>
            <w:tcBorders>
              <w:tl2br w:val="nil"/>
              <w:tr2bl w:val="nil"/>
            </w:tcBorders>
            <w:shd w:val="clear" w:color="auto" w:fill="auto"/>
            <w:noWrap/>
            <w:vAlign w:val="center"/>
          </w:tcPr>
          <w:p w14:paraId="061521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类别</w:t>
            </w:r>
          </w:p>
        </w:tc>
        <w:tc>
          <w:tcPr>
            <w:tcW w:w="2615" w:type="dxa"/>
            <w:tcBorders>
              <w:tl2br w:val="nil"/>
              <w:tr2bl w:val="nil"/>
            </w:tcBorders>
            <w:shd w:val="clear" w:color="auto" w:fill="auto"/>
            <w:vAlign w:val="center"/>
          </w:tcPr>
          <w:p w14:paraId="2D29EB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dstrike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项目名称</w:t>
            </w:r>
          </w:p>
        </w:tc>
        <w:tc>
          <w:tcPr>
            <w:tcW w:w="1609" w:type="dxa"/>
            <w:tcBorders>
              <w:tl2br w:val="nil"/>
              <w:tr2bl w:val="nil"/>
            </w:tcBorders>
            <w:shd w:val="clear" w:color="auto" w:fill="auto"/>
            <w:noWrap/>
            <w:vAlign w:val="center"/>
          </w:tcPr>
          <w:p w14:paraId="6274B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val="0"/>
                <w:dstrike w:val="0"/>
                <w:color w:val="auto"/>
                <w:kern w:val="0"/>
                <w:sz w:val="22"/>
                <w:szCs w:val="22"/>
                <w:u w:val="none"/>
                <w:lang w:val="en-US" w:eastAsia="zh-CN" w:bidi="ar"/>
              </w:rPr>
            </w:pPr>
            <w:r>
              <w:rPr>
                <w:rFonts w:hint="eastAsia" w:ascii="宋体" w:hAnsi="宋体" w:eastAsia="宋体" w:cs="宋体"/>
                <w:b/>
                <w:i w:val="0"/>
                <w:iCs w:val="0"/>
                <w:strike w:val="0"/>
                <w:dstrike w:val="0"/>
                <w:color w:val="auto"/>
                <w:kern w:val="0"/>
                <w:sz w:val="22"/>
                <w:szCs w:val="22"/>
                <w:u w:val="none"/>
                <w:lang w:val="en-US" w:eastAsia="zh-CN" w:bidi="ar"/>
              </w:rPr>
              <w:t>型号</w:t>
            </w:r>
          </w:p>
        </w:tc>
        <w:tc>
          <w:tcPr>
            <w:tcW w:w="743" w:type="dxa"/>
            <w:tcBorders>
              <w:tl2br w:val="nil"/>
              <w:tr2bl w:val="nil"/>
            </w:tcBorders>
            <w:shd w:val="clear" w:color="auto" w:fill="auto"/>
            <w:noWrap/>
            <w:vAlign w:val="center"/>
          </w:tcPr>
          <w:p w14:paraId="615496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val="0"/>
                <w:dstrike w:val="0"/>
                <w:color w:val="auto"/>
                <w:kern w:val="0"/>
                <w:sz w:val="22"/>
                <w:szCs w:val="22"/>
                <w:u w:val="none"/>
                <w:lang w:val="en-US" w:eastAsia="zh-CN" w:bidi="ar"/>
              </w:rPr>
            </w:pPr>
            <w:r>
              <w:rPr>
                <w:rFonts w:hint="eastAsia" w:ascii="宋体" w:hAnsi="宋体" w:eastAsia="宋体" w:cs="宋体"/>
                <w:b/>
                <w:i w:val="0"/>
                <w:iCs w:val="0"/>
                <w:strike w:val="0"/>
                <w:dstrike w:val="0"/>
                <w:color w:val="auto"/>
                <w:kern w:val="0"/>
                <w:sz w:val="22"/>
                <w:szCs w:val="22"/>
                <w:u w:val="none"/>
                <w:lang w:val="en-US" w:eastAsia="zh-CN" w:bidi="ar"/>
              </w:rPr>
              <w:t>数量</w:t>
            </w:r>
          </w:p>
        </w:tc>
        <w:tc>
          <w:tcPr>
            <w:tcW w:w="743" w:type="dxa"/>
            <w:tcBorders>
              <w:tl2br w:val="nil"/>
              <w:tr2bl w:val="nil"/>
            </w:tcBorders>
            <w:shd w:val="clear" w:color="auto" w:fill="auto"/>
            <w:noWrap/>
            <w:vAlign w:val="center"/>
          </w:tcPr>
          <w:p w14:paraId="756831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val="0"/>
                <w:dstrike w:val="0"/>
                <w:color w:val="auto"/>
                <w:kern w:val="0"/>
                <w:sz w:val="22"/>
                <w:szCs w:val="22"/>
                <w:u w:val="none"/>
                <w:lang w:val="en-US" w:eastAsia="zh-CN" w:bidi="ar"/>
              </w:rPr>
            </w:pPr>
            <w:r>
              <w:rPr>
                <w:rFonts w:hint="eastAsia" w:ascii="宋体" w:hAnsi="宋体" w:eastAsia="宋体" w:cs="宋体"/>
                <w:b/>
                <w:i w:val="0"/>
                <w:iCs w:val="0"/>
                <w:strike w:val="0"/>
                <w:dstrike w:val="0"/>
                <w:color w:val="auto"/>
                <w:kern w:val="0"/>
                <w:sz w:val="22"/>
                <w:szCs w:val="22"/>
                <w:u w:val="none"/>
                <w:lang w:val="en-US" w:eastAsia="zh-CN" w:bidi="ar"/>
              </w:rPr>
              <w:t>单位</w:t>
            </w:r>
          </w:p>
        </w:tc>
        <w:tc>
          <w:tcPr>
            <w:tcW w:w="1526" w:type="dxa"/>
            <w:tcBorders>
              <w:tl2br w:val="nil"/>
              <w:tr2bl w:val="nil"/>
            </w:tcBorders>
            <w:shd w:val="clear" w:color="auto" w:fill="auto"/>
            <w:noWrap/>
            <w:vAlign w:val="center"/>
          </w:tcPr>
          <w:p w14:paraId="3932B3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strike w:val="0"/>
                <w:dstrike w:val="0"/>
                <w:color w:val="auto"/>
                <w:kern w:val="0"/>
                <w:sz w:val="22"/>
                <w:szCs w:val="22"/>
                <w:u w:val="none"/>
                <w:lang w:val="en-US" w:eastAsia="zh-CN" w:bidi="ar"/>
              </w:rPr>
            </w:pPr>
            <w:r>
              <w:rPr>
                <w:rFonts w:hint="eastAsia" w:ascii="宋体" w:hAnsi="宋体" w:eastAsia="宋体" w:cs="宋体"/>
                <w:b/>
                <w:i w:val="0"/>
                <w:iCs w:val="0"/>
                <w:strike w:val="0"/>
                <w:dstrike w:val="0"/>
                <w:color w:val="auto"/>
                <w:kern w:val="0"/>
                <w:sz w:val="22"/>
                <w:szCs w:val="22"/>
                <w:u w:val="none"/>
                <w:lang w:val="en-US" w:eastAsia="zh-CN" w:bidi="ar"/>
              </w:rPr>
              <w:t>价格（元）</w:t>
            </w:r>
          </w:p>
        </w:tc>
      </w:tr>
      <w:tr w14:paraId="2BE3D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tcBorders>
              <w:tl2br w:val="nil"/>
              <w:tr2bl w:val="nil"/>
            </w:tcBorders>
            <w:shd w:val="clear" w:color="auto" w:fill="auto"/>
            <w:noWrap/>
            <w:vAlign w:val="center"/>
          </w:tcPr>
          <w:p w14:paraId="01CC11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265" w:type="dxa"/>
            <w:tcBorders>
              <w:tl2br w:val="nil"/>
              <w:tr2bl w:val="nil"/>
            </w:tcBorders>
            <w:shd w:val="clear" w:color="auto" w:fill="auto"/>
            <w:noWrap/>
            <w:vAlign w:val="center"/>
          </w:tcPr>
          <w:p w14:paraId="53F8FC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网络</w:t>
            </w:r>
          </w:p>
        </w:tc>
        <w:tc>
          <w:tcPr>
            <w:tcW w:w="2615" w:type="dxa"/>
            <w:tcBorders>
              <w:tl2br w:val="nil"/>
              <w:tr2bl w:val="nil"/>
            </w:tcBorders>
            <w:shd w:val="clear" w:color="auto" w:fill="auto"/>
            <w:vAlign w:val="center"/>
          </w:tcPr>
          <w:p w14:paraId="652D3325">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跨省影像专线服务1年</w:t>
            </w:r>
          </w:p>
        </w:tc>
        <w:tc>
          <w:tcPr>
            <w:tcW w:w="1609" w:type="dxa"/>
            <w:tcBorders>
              <w:tl2br w:val="nil"/>
              <w:tr2bl w:val="nil"/>
            </w:tcBorders>
            <w:shd w:val="clear" w:color="auto" w:fill="auto"/>
            <w:noWrap/>
            <w:vAlign w:val="center"/>
          </w:tcPr>
          <w:p w14:paraId="202E95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专线速率200M</w:t>
            </w:r>
          </w:p>
        </w:tc>
        <w:tc>
          <w:tcPr>
            <w:tcW w:w="743" w:type="dxa"/>
            <w:tcBorders>
              <w:tl2br w:val="nil"/>
              <w:tr2bl w:val="nil"/>
            </w:tcBorders>
            <w:shd w:val="clear" w:color="auto" w:fill="auto"/>
            <w:noWrap/>
            <w:vAlign w:val="center"/>
          </w:tcPr>
          <w:p w14:paraId="77496EE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743" w:type="dxa"/>
            <w:tcBorders>
              <w:tl2br w:val="nil"/>
              <w:tr2bl w:val="nil"/>
            </w:tcBorders>
            <w:shd w:val="clear" w:color="auto" w:fill="auto"/>
            <w:noWrap/>
            <w:vAlign w:val="center"/>
          </w:tcPr>
          <w:p w14:paraId="5095E0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trike/>
                <w:dstrike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条</w:t>
            </w:r>
          </w:p>
        </w:tc>
        <w:tc>
          <w:tcPr>
            <w:tcW w:w="1526" w:type="dxa"/>
            <w:tcBorders>
              <w:tl2br w:val="nil"/>
              <w:tr2bl w:val="nil"/>
            </w:tcBorders>
            <w:shd w:val="clear" w:color="auto" w:fill="auto"/>
            <w:noWrap/>
            <w:vAlign w:val="center"/>
          </w:tcPr>
          <w:p w14:paraId="11CBCA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2"/>
                <w:szCs w:val="22"/>
                <w:u w:val="none"/>
                <w:lang w:val="en-US" w:eastAsia="zh-CN" w:bidi="ar"/>
              </w:rPr>
            </w:pPr>
          </w:p>
        </w:tc>
      </w:tr>
      <w:tr w14:paraId="78929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tcBorders>
              <w:tl2br w:val="nil"/>
              <w:tr2bl w:val="nil"/>
            </w:tcBorders>
            <w:shd w:val="clear" w:color="auto" w:fill="auto"/>
            <w:noWrap/>
            <w:vAlign w:val="center"/>
          </w:tcPr>
          <w:p w14:paraId="15E0C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c>
          <w:tcPr>
            <w:tcW w:w="1265" w:type="dxa"/>
            <w:vMerge w:val="restart"/>
            <w:tcBorders>
              <w:tl2br w:val="nil"/>
              <w:tr2bl w:val="nil"/>
            </w:tcBorders>
            <w:shd w:val="clear" w:color="auto" w:fill="auto"/>
            <w:noWrap/>
            <w:vAlign w:val="center"/>
          </w:tcPr>
          <w:p w14:paraId="21EEC2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前置机硬件</w:t>
            </w:r>
          </w:p>
        </w:tc>
        <w:tc>
          <w:tcPr>
            <w:tcW w:w="2615" w:type="dxa"/>
            <w:tcBorders>
              <w:tl2br w:val="nil"/>
              <w:tr2bl w:val="nil"/>
            </w:tcBorders>
            <w:shd w:val="clear" w:color="auto" w:fill="auto"/>
            <w:vAlign w:val="center"/>
          </w:tcPr>
          <w:p w14:paraId="2D85B142">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前置机服务器</w:t>
            </w:r>
          </w:p>
        </w:tc>
        <w:tc>
          <w:tcPr>
            <w:tcW w:w="1609" w:type="dxa"/>
            <w:tcBorders>
              <w:tl2br w:val="nil"/>
              <w:tr2bl w:val="nil"/>
            </w:tcBorders>
            <w:shd w:val="clear" w:color="auto" w:fill="auto"/>
            <w:noWrap/>
            <w:vAlign w:val="center"/>
          </w:tcPr>
          <w:p w14:paraId="634A38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743" w:type="dxa"/>
            <w:tcBorders>
              <w:tl2br w:val="nil"/>
              <w:tr2bl w:val="nil"/>
            </w:tcBorders>
            <w:shd w:val="clear" w:color="auto" w:fill="auto"/>
            <w:noWrap/>
            <w:vAlign w:val="center"/>
          </w:tcPr>
          <w:p w14:paraId="4564F2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743" w:type="dxa"/>
            <w:tcBorders>
              <w:tl2br w:val="nil"/>
              <w:tr2bl w:val="nil"/>
            </w:tcBorders>
            <w:shd w:val="clear" w:color="auto" w:fill="auto"/>
            <w:noWrap/>
            <w:vAlign w:val="center"/>
          </w:tcPr>
          <w:p w14:paraId="480245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1526" w:type="dxa"/>
            <w:tcBorders>
              <w:tl2br w:val="nil"/>
              <w:tr2bl w:val="nil"/>
            </w:tcBorders>
            <w:shd w:val="clear" w:color="auto" w:fill="auto"/>
            <w:noWrap/>
            <w:vAlign w:val="center"/>
          </w:tcPr>
          <w:p w14:paraId="2BDE7D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2"/>
                <w:szCs w:val="22"/>
                <w:u w:val="none"/>
                <w:lang w:val="en-US" w:eastAsia="zh-CN" w:bidi="ar"/>
              </w:rPr>
            </w:pPr>
          </w:p>
        </w:tc>
      </w:tr>
      <w:tr w14:paraId="2230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tcBorders>
              <w:tl2br w:val="nil"/>
              <w:tr2bl w:val="nil"/>
            </w:tcBorders>
            <w:shd w:val="clear" w:color="auto" w:fill="auto"/>
            <w:noWrap/>
            <w:vAlign w:val="center"/>
          </w:tcPr>
          <w:p w14:paraId="2B76E2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c>
          <w:tcPr>
            <w:tcW w:w="1265" w:type="dxa"/>
            <w:vMerge w:val="continue"/>
            <w:tcBorders>
              <w:tl2br w:val="nil"/>
              <w:tr2bl w:val="nil"/>
            </w:tcBorders>
            <w:shd w:val="clear" w:color="auto" w:fill="auto"/>
            <w:noWrap/>
            <w:vAlign w:val="center"/>
          </w:tcPr>
          <w:p w14:paraId="349ABA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p>
        </w:tc>
        <w:tc>
          <w:tcPr>
            <w:tcW w:w="2615" w:type="dxa"/>
            <w:tcBorders>
              <w:tl2br w:val="nil"/>
              <w:tr2bl w:val="nil"/>
            </w:tcBorders>
            <w:shd w:val="clear" w:color="auto" w:fill="auto"/>
            <w:vAlign w:val="center"/>
          </w:tcPr>
          <w:p w14:paraId="35138052">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接入交换机</w:t>
            </w:r>
          </w:p>
        </w:tc>
        <w:tc>
          <w:tcPr>
            <w:tcW w:w="1609" w:type="dxa"/>
            <w:tcBorders>
              <w:tl2br w:val="nil"/>
              <w:tr2bl w:val="nil"/>
            </w:tcBorders>
            <w:shd w:val="clear" w:color="auto" w:fill="auto"/>
            <w:noWrap/>
            <w:vAlign w:val="center"/>
          </w:tcPr>
          <w:p w14:paraId="02F9A7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22CD04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743" w:type="dxa"/>
            <w:tcBorders>
              <w:tl2br w:val="nil"/>
              <w:tr2bl w:val="nil"/>
            </w:tcBorders>
            <w:shd w:val="clear" w:color="auto" w:fill="auto"/>
            <w:noWrap/>
            <w:vAlign w:val="center"/>
          </w:tcPr>
          <w:p w14:paraId="38F216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kern w:val="0"/>
                <w:sz w:val="22"/>
                <w:szCs w:val="22"/>
                <w:u w:val="none"/>
                <w:lang w:val="en-US" w:eastAsia="zh-CN" w:bidi="ar"/>
              </w:rPr>
              <w:t>台</w:t>
            </w:r>
          </w:p>
        </w:tc>
        <w:tc>
          <w:tcPr>
            <w:tcW w:w="1526" w:type="dxa"/>
            <w:tcBorders>
              <w:tl2br w:val="nil"/>
              <w:tr2bl w:val="nil"/>
            </w:tcBorders>
            <w:shd w:val="clear" w:color="auto" w:fill="auto"/>
            <w:noWrap/>
            <w:vAlign w:val="center"/>
          </w:tcPr>
          <w:p w14:paraId="73AB0A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2"/>
                <w:szCs w:val="22"/>
                <w:u w:val="none"/>
                <w:lang w:val="en-US" w:eastAsia="zh-CN" w:bidi="ar"/>
              </w:rPr>
            </w:pPr>
          </w:p>
        </w:tc>
      </w:tr>
      <w:tr w14:paraId="1746F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vMerge w:val="restart"/>
            <w:tcBorders>
              <w:tl2br w:val="nil"/>
              <w:tr2bl w:val="nil"/>
            </w:tcBorders>
            <w:shd w:val="clear" w:color="auto" w:fill="auto"/>
            <w:noWrap/>
            <w:vAlign w:val="center"/>
          </w:tcPr>
          <w:p w14:paraId="776CED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265" w:type="dxa"/>
            <w:vMerge w:val="restart"/>
            <w:tcBorders>
              <w:tl2br w:val="nil"/>
              <w:tr2bl w:val="nil"/>
            </w:tcBorders>
            <w:shd w:val="clear" w:color="auto" w:fill="auto"/>
            <w:noWrap/>
            <w:vAlign w:val="center"/>
          </w:tcPr>
          <w:p w14:paraId="235973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数据安全</w:t>
            </w:r>
          </w:p>
        </w:tc>
        <w:tc>
          <w:tcPr>
            <w:tcW w:w="2615" w:type="dxa"/>
            <w:tcBorders>
              <w:tl2br w:val="nil"/>
              <w:tr2bl w:val="nil"/>
            </w:tcBorders>
            <w:shd w:val="clear" w:color="auto" w:fill="auto"/>
            <w:vAlign w:val="center"/>
          </w:tcPr>
          <w:p w14:paraId="08433B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防火墙</w:t>
            </w:r>
          </w:p>
        </w:tc>
        <w:tc>
          <w:tcPr>
            <w:tcW w:w="1609" w:type="dxa"/>
            <w:tcBorders>
              <w:tl2br w:val="nil"/>
              <w:tr2bl w:val="nil"/>
            </w:tcBorders>
            <w:shd w:val="clear" w:color="auto" w:fill="auto"/>
            <w:noWrap/>
            <w:vAlign w:val="center"/>
          </w:tcPr>
          <w:p w14:paraId="6DC227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2C6693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743" w:type="dxa"/>
            <w:tcBorders>
              <w:tl2br w:val="nil"/>
              <w:tr2bl w:val="nil"/>
            </w:tcBorders>
            <w:shd w:val="clear" w:color="auto" w:fill="auto"/>
            <w:noWrap/>
            <w:vAlign w:val="center"/>
          </w:tcPr>
          <w:p w14:paraId="47C59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台</w:t>
            </w:r>
          </w:p>
        </w:tc>
        <w:tc>
          <w:tcPr>
            <w:tcW w:w="1526" w:type="dxa"/>
            <w:tcBorders>
              <w:tl2br w:val="nil"/>
              <w:tr2bl w:val="nil"/>
            </w:tcBorders>
            <w:shd w:val="clear" w:color="auto" w:fill="auto"/>
            <w:noWrap/>
            <w:vAlign w:val="center"/>
          </w:tcPr>
          <w:p w14:paraId="4AFF3C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2"/>
                <w:szCs w:val="22"/>
                <w:u w:val="none"/>
                <w:lang w:val="en-US" w:eastAsia="zh-CN" w:bidi="ar"/>
              </w:rPr>
            </w:pPr>
          </w:p>
        </w:tc>
      </w:tr>
      <w:tr w14:paraId="0D93E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41" w:type="dxa"/>
            <w:vMerge w:val="continue"/>
            <w:tcBorders>
              <w:tl2br w:val="nil"/>
              <w:tr2bl w:val="nil"/>
            </w:tcBorders>
            <w:shd w:val="clear" w:color="auto" w:fill="auto"/>
            <w:noWrap/>
            <w:vAlign w:val="center"/>
          </w:tcPr>
          <w:p w14:paraId="697446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265" w:type="dxa"/>
            <w:vMerge w:val="continue"/>
            <w:tcBorders>
              <w:tl2br w:val="nil"/>
              <w:tr2bl w:val="nil"/>
            </w:tcBorders>
            <w:shd w:val="clear" w:color="auto" w:fill="auto"/>
            <w:noWrap/>
            <w:vAlign w:val="center"/>
          </w:tcPr>
          <w:p w14:paraId="2BA736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p>
        </w:tc>
        <w:tc>
          <w:tcPr>
            <w:tcW w:w="2615" w:type="dxa"/>
            <w:tcBorders>
              <w:tl2br w:val="nil"/>
              <w:tr2bl w:val="nil"/>
            </w:tcBorders>
            <w:shd w:val="clear" w:color="auto" w:fill="auto"/>
            <w:vAlign w:val="center"/>
          </w:tcPr>
          <w:p w14:paraId="6741E505">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SOC 安全运营平台1年使用授权</w:t>
            </w:r>
          </w:p>
        </w:tc>
        <w:tc>
          <w:tcPr>
            <w:tcW w:w="1609" w:type="dxa"/>
            <w:tcBorders>
              <w:tl2br w:val="nil"/>
              <w:tr2bl w:val="nil"/>
            </w:tcBorders>
            <w:shd w:val="clear" w:color="auto" w:fill="auto"/>
            <w:noWrap/>
            <w:vAlign w:val="center"/>
          </w:tcPr>
          <w:p w14:paraId="34BF77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6D5787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743" w:type="dxa"/>
            <w:tcBorders>
              <w:tl2br w:val="nil"/>
              <w:tr2bl w:val="nil"/>
            </w:tcBorders>
            <w:shd w:val="clear" w:color="auto" w:fill="auto"/>
            <w:noWrap/>
            <w:vAlign w:val="center"/>
          </w:tcPr>
          <w:p w14:paraId="7DE5E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c>
          <w:tcPr>
            <w:tcW w:w="1526" w:type="dxa"/>
            <w:tcBorders>
              <w:tl2br w:val="nil"/>
              <w:tr2bl w:val="nil"/>
            </w:tcBorders>
            <w:shd w:val="clear" w:color="auto" w:fill="auto"/>
            <w:noWrap/>
            <w:vAlign w:val="center"/>
          </w:tcPr>
          <w:p w14:paraId="761C0C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2"/>
                <w:szCs w:val="22"/>
                <w:u w:val="none"/>
                <w:lang w:val="en-US" w:eastAsia="zh-CN" w:bidi="ar"/>
              </w:rPr>
            </w:pPr>
          </w:p>
        </w:tc>
      </w:tr>
      <w:tr w14:paraId="1B64A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vMerge w:val="continue"/>
            <w:tcBorders>
              <w:tl2br w:val="nil"/>
              <w:tr2bl w:val="nil"/>
            </w:tcBorders>
            <w:shd w:val="clear" w:color="auto" w:fill="auto"/>
            <w:noWrap/>
            <w:vAlign w:val="center"/>
          </w:tcPr>
          <w:p w14:paraId="1455A1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265" w:type="dxa"/>
            <w:vMerge w:val="continue"/>
            <w:tcBorders>
              <w:tl2br w:val="nil"/>
              <w:tr2bl w:val="nil"/>
            </w:tcBorders>
            <w:shd w:val="clear" w:color="auto" w:fill="auto"/>
            <w:noWrap/>
            <w:vAlign w:val="center"/>
          </w:tcPr>
          <w:p w14:paraId="7D9A1F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p>
        </w:tc>
        <w:tc>
          <w:tcPr>
            <w:tcW w:w="2615" w:type="dxa"/>
            <w:tcBorders>
              <w:tl2br w:val="nil"/>
              <w:tr2bl w:val="nil"/>
            </w:tcBorders>
            <w:shd w:val="clear" w:color="auto" w:fill="auto"/>
            <w:vAlign w:val="center"/>
          </w:tcPr>
          <w:p w14:paraId="7330FF69">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NAC+EDR 终端安全系统1年使用授权</w:t>
            </w:r>
          </w:p>
        </w:tc>
        <w:tc>
          <w:tcPr>
            <w:tcW w:w="1609" w:type="dxa"/>
            <w:tcBorders>
              <w:tl2br w:val="nil"/>
              <w:tr2bl w:val="nil"/>
            </w:tcBorders>
            <w:shd w:val="clear" w:color="auto" w:fill="auto"/>
            <w:noWrap/>
            <w:vAlign w:val="center"/>
          </w:tcPr>
          <w:p w14:paraId="4A3F92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5D63A8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743" w:type="dxa"/>
            <w:tcBorders>
              <w:tl2br w:val="nil"/>
              <w:tr2bl w:val="nil"/>
            </w:tcBorders>
            <w:shd w:val="clear" w:color="auto" w:fill="auto"/>
            <w:noWrap/>
            <w:vAlign w:val="center"/>
          </w:tcPr>
          <w:p w14:paraId="567059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c>
          <w:tcPr>
            <w:tcW w:w="1526" w:type="dxa"/>
            <w:tcBorders>
              <w:tl2br w:val="nil"/>
              <w:tr2bl w:val="nil"/>
            </w:tcBorders>
            <w:shd w:val="clear" w:color="auto" w:fill="auto"/>
            <w:noWrap/>
            <w:vAlign w:val="center"/>
          </w:tcPr>
          <w:p w14:paraId="54D5761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kern w:val="0"/>
                <w:sz w:val="22"/>
                <w:szCs w:val="22"/>
                <w:u w:val="none"/>
                <w:lang w:val="en-US" w:eastAsia="zh-CN" w:bidi="ar"/>
              </w:rPr>
            </w:pPr>
          </w:p>
        </w:tc>
      </w:tr>
      <w:tr w14:paraId="6F7CB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tcBorders>
              <w:tl2br w:val="nil"/>
              <w:tr2bl w:val="nil"/>
            </w:tcBorders>
            <w:shd w:val="clear" w:color="auto" w:fill="auto"/>
            <w:noWrap/>
            <w:vAlign w:val="center"/>
          </w:tcPr>
          <w:p w14:paraId="5D8DCF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265" w:type="dxa"/>
            <w:tcBorders>
              <w:tl2br w:val="nil"/>
              <w:tr2bl w:val="nil"/>
            </w:tcBorders>
            <w:shd w:val="clear" w:color="auto" w:fill="auto"/>
            <w:noWrap/>
            <w:vAlign w:val="center"/>
          </w:tcPr>
          <w:p w14:paraId="6DA089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管理</w:t>
            </w:r>
          </w:p>
        </w:tc>
        <w:tc>
          <w:tcPr>
            <w:tcW w:w="2615" w:type="dxa"/>
            <w:tcBorders>
              <w:tl2br w:val="nil"/>
              <w:tr2bl w:val="nil"/>
            </w:tcBorders>
            <w:shd w:val="clear" w:color="auto" w:fill="auto"/>
            <w:vAlign w:val="center"/>
          </w:tcPr>
          <w:p w14:paraId="36539490">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平台软件1年使用授权</w:t>
            </w:r>
          </w:p>
        </w:tc>
        <w:tc>
          <w:tcPr>
            <w:tcW w:w="1609" w:type="dxa"/>
            <w:tcBorders>
              <w:tl2br w:val="nil"/>
              <w:tr2bl w:val="nil"/>
            </w:tcBorders>
            <w:shd w:val="clear" w:color="auto" w:fill="auto"/>
            <w:noWrap/>
            <w:vAlign w:val="center"/>
          </w:tcPr>
          <w:p w14:paraId="30D59C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1F9AF4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1</w:t>
            </w:r>
          </w:p>
        </w:tc>
        <w:tc>
          <w:tcPr>
            <w:tcW w:w="743" w:type="dxa"/>
            <w:tcBorders>
              <w:tl2br w:val="nil"/>
              <w:tr2bl w:val="nil"/>
            </w:tcBorders>
            <w:shd w:val="clear" w:color="auto" w:fill="auto"/>
            <w:noWrap/>
            <w:vAlign w:val="center"/>
          </w:tcPr>
          <w:p w14:paraId="03A481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c>
          <w:tcPr>
            <w:tcW w:w="1526" w:type="dxa"/>
            <w:tcBorders>
              <w:tl2br w:val="nil"/>
              <w:tr2bl w:val="nil"/>
            </w:tcBorders>
            <w:shd w:val="clear" w:color="auto" w:fill="auto"/>
            <w:noWrap/>
            <w:vAlign w:val="center"/>
          </w:tcPr>
          <w:p w14:paraId="5EC9EC6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lang w:val="en-US" w:eastAsia="zh-CN"/>
              </w:rPr>
            </w:pPr>
          </w:p>
        </w:tc>
      </w:tr>
      <w:tr w14:paraId="22F23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jc w:val="center"/>
        </w:trPr>
        <w:tc>
          <w:tcPr>
            <w:tcW w:w="741" w:type="dxa"/>
            <w:tcBorders>
              <w:tl2br w:val="nil"/>
              <w:tr2bl w:val="nil"/>
            </w:tcBorders>
            <w:shd w:val="clear" w:color="auto" w:fill="auto"/>
            <w:noWrap/>
            <w:vAlign w:val="center"/>
          </w:tcPr>
          <w:p w14:paraId="76F1BF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kern w:val="0"/>
                <w:sz w:val="22"/>
                <w:szCs w:val="22"/>
                <w:u w:val="none"/>
                <w:lang w:val="en-US" w:eastAsia="zh-CN" w:bidi="ar"/>
              </w:rPr>
            </w:pPr>
          </w:p>
        </w:tc>
        <w:tc>
          <w:tcPr>
            <w:tcW w:w="1265" w:type="dxa"/>
            <w:tcBorders>
              <w:tl2br w:val="nil"/>
              <w:tr2bl w:val="nil"/>
            </w:tcBorders>
            <w:shd w:val="clear" w:color="auto" w:fill="auto"/>
            <w:noWrap/>
            <w:vAlign w:val="center"/>
          </w:tcPr>
          <w:p w14:paraId="473544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auto"/>
                <w:kern w:val="0"/>
                <w:sz w:val="22"/>
                <w:szCs w:val="22"/>
                <w:u w:val="none"/>
                <w:lang w:val="en-US" w:eastAsia="zh-CN" w:bidi="ar"/>
              </w:rPr>
            </w:pPr>
          </w:p>
        </w:tc>
        <w:tc>
          <w:tcPr>
            <w:tcW w:w="2615" w:type="dxa"/>
            <w:tcBorders>
              <w:tl2br w:val="nil"/>
              <w:tr2bl w:val="nil"/>
            </w:tcBorders>
            <w:shd w:val="clear" w:color="auto" w:fill="auto"/>
            <w:vAlign w:val="center"/>
          </w:tcPr>
          <w:p w14:paraId="039188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color w:val="auto"/>
                <w:sz w:val="22"/>
                <w:szCs w:val="22"/>
                <w:lang w:val="en-US" w:eastAsia="zh-CN"/>
              </w:rPr>
            </w:pPr>
          </w:p>
        </w:tc>
        <w:tc>
          <w:tcPr>
            <w:tcW w:w="1609" w:type="dxa"/>
            <w:tcBorders>
              <w:tl2br w:val="nil"/>
              <w:tr2bl w:val="nil"/>
            </w:tcBorders>
            <w:shd w:val="clear" w:color="auto" w:fill="auto"/>
            <w:noWrap/>
            <w:vAlign w:val="center"/>
          </w:tcPr>
          <w:p w14:paraId="4AA4A1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357E3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lang w:val="en-US" w:eastAsia="zh-CN"/>
              </w:rPr>
            </w:pPr>
          </w:p>
        </w:tc>
        <w:tc>
          <w:tcPr>
            <w:tcW w:w="743" w:type="dxa"/>
            <w:tcBorders>
              <w:tl2br w:val="nil"/>
              <w:tr2bl w:val="nil"/>
            </w:tcBorders>
            <w:shd w:val="clear" w:color="auto" w:fill="auto"/>
            <w:noWrap/>
            <w:vAlign w:val="center"/>
          </w:tcPr>
          <w:p w14:paraId="6744F1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auto"/>
                <w:sz w:val="22"/>
                <w:szCs w:val="22"/>
                <w:u w:val="none"/>
                <w:lang w:val="en-US" w:eastAsia="zh-CN"/>
              </w:rPr>
            </w:pPr>
            <w:r>
              <w:rPr>
                <w:rFonts w:hint="eastAsia" w:ascii="宋体" w:hAnsi="宋体" w:eastAsia="宋体" w:cs="宋体"/>
                <w:b/>
                <w:i w:val="0"/>
                <w:iCs w:val="0"/>
                <w:color w:val="auto"/>
                <w:sz w:val="22"/>
                <w:szCs w:val="22"/>
                <w:u w:val="none"/>
                <w:lang w:val="en-US" w:eastAsia="zh-CN"/>
              </w:rPr>
              <w:t>合计</w:t>
            </w:r>
          </w:p>
        </w:tc>
        <w:tc>
          <w:tcPr>
            <w:tcW w:w="1526" w:type="dxa"/>
            <w:tcBorders>
              <w:tl2br w:val="nil"/>
              <w:tr2bl w:val="nil"/>
            </w:tcBorders>
            <w:shd w:val="clear" w:color="auto" w:fill="auto"/>
            <w:noWrap/>
            <w:vAlign w:val="center"/>
          </w:tcPr>
          <w:p w14:paraId="0708694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auto"/>
                <w:sz w:val="22"/>
                <w:szCs w:val="22"/>
                <w:u w:val="none"/>
                <w:lang w:val="en-US" w:eastAsia="zh-CN"/>
              </w:rPr>
            </w:pPr>
          </w:p>
        </w:tc>
      </w:tr>
    </w:tbl>
    <w:p w14:paraId="6031BA79">
      <w:pPr>
        <w:pStyle w:val="15"/>
        <w:widowControl/>
        <w:spacing w:after="0" w:line="240" w:lineRule="auto"/>
        <w:ind w:left="0" w:leftChars="0" w:firstLine="0" w:firstLineChars="0"/>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p>
    <w:p w14:paraId="61D85823">
      <w:pPr>
        <w:pStyle w:val="2"/>
        <w:widowControl/>
        <w:numPr>
          <w:ilvl w:val="0"/>
          <w:numId w:val="1"/>
        </w:numPr>
        <w:tabs>
          <w:tab w:val="left" w:pos="1043"/>
        </w:tabs>
        <w:topLinePunct w:val="0"/>
        <w:ind w:left="-420" w:leftChars="0" w:firstLine="562" w:firstLineChars="200"/>
        <w:rPr>
          <w:sz w:val="28"/>
          <w:szCs w:val="28"/>
        </w:rPr>
      </w:pPr>
      <w:r>
        <w:rPr>
          <w:sz w:val="28"/>
          <w:szCs w:val="28"/>
        </w:rPr>
        <w:t>投标文件要求</w:t>
      </w:r>
    </w:p>
    <w:p w14:paraId="0881EF5C">
      <w:pPr>
        <w:pStyle w:val="22"/>
        <w:widowControl/>
        <w:numPr>
          <w:ilvl w:val="0"/>
          <w:numId w:val="0"/>
        </w:numPr>
        <w:wordWrap w:val="0"/>
        <w:ind w:leftChars="100"/>
        <w:rPr>
          <w:rFonts w:hint="eastAsia" w:ascii="宋体" w:hAnsi="宋体" w:eastAsia="宋体" w:cs="Times New Roman"/>
          <w:b w:val="0"/>
          <w:bCs w:val="0"/>
          <w:color w:val="000000"/>
          <w:kern w:val="0"/>
          <w:sz w:val="28"/>
          <w:szCs w:val="28"/>
        </w:rPr>
      </w:pPr>
      <w:r>
        <w:rPr>
          <w:rFonts w:hint="eastAsia" w:ascii="宋体" w:hAnsi="宋体" w:eastAsia="宋体" w:cs="Times New Roman"/>
          <w:b w:val="0"/>
          <w:bCs w:val="0"/>
          <w:color w:val="000000"/>
          <w:kern w:val="0"/>
          <w:sz w:val="28"/>
          <w:szCs w:val="28"/>
        </w:rPr>
        <w:t>营业执照复印件（加盖公章）；</w:t>
      </w:r>
    </w:p>
    <w:p w14:paraId="511C6296">
      <w:pPr>
        <w:pStyle w:val="22"/>
        <w:widowControl/>
        <w:numPr>
          <w:ilvl w:val="0"/>
          <w:numId w:val="0"/>
        </w:numPr>
        <w:wordWrap w:val="0"/>
        <w:ind w:leftChars="100"/>
        <w:rPr>
          <w:rFonts w:hint="eastAsia" w:eastAsia="宋体"/>
          <w:lang w:eastAsia="zh-CN"/>
        </w:rPr>
      </w:pPr>
      <w:r>
        <w:rPr>
          <w:rFonts w:hint="eastAsia" w:cs="Times New Roman"/>
          <w:b w:val="0"/>
          <w:bCs w:val="0"/>
          <w:color w:val="000000"/>
          <w:kern w:val="0"/>
          <w:sz w:val="28"/>
          <w:szCs w:val="28"/>
          <w:lang w:eastAsia="zh-CN"/>
        </w:rPr>
        <w:t>本项目技术要求所列</w:t>
      </w:r>
      <w:r>
        <w:rPr>
          <w:rFonts w:hint="eastAsia" w:ascii="宋体" w:hAnsi="宋体" w:eastAsia="宋体" w:cs="Times New Roman"/>
          <w:b w:val="0"/>
          <w:bCs w:val="0"/>
          <w:color w:val="000000"/>
          <w:kern w:val="0"/>
          <w:sz w:val="28"/>
          <w:szCs w:val="28"/>
          <w:lang w:eastAsia="zh-CN"/>
        </w:rPr>
        <w:t>产品资质证明；</w:t>
      </w:r>
    </w:p>
    <w:p w14:paraId="6F43DB00">
      <w:pPr>
        <w:pStyle w:val="22"/>
        <w:widowControl/>
        <w:numPr>
          <w:ilvl w:val="0"/>
          <w:numId w:val="0"/>
        </w:numPr>
        <w:wordWrap w:val="0"/>
        <w:ind w:leftChars="100"/>
        <w:rPr>
          <w:rFonts w:hint="eastAsia" w:ascii="宋体" w:hAnsi="宋体" w:eastAsia="宋体" w:cs="Times New Roman"/>
          <w:b w:val="0"/>
          <w:bCs w:val="0"/>
          <w:color w:val="000000"/>
          <w:kern w:val="0"/>
          <w:sz w:val="28"/>
          <w:szCs w:val="28"/>
        </w:rPr>
      </w:pPr>
      <w:r>
        <w:rPr>
          <w:rFonts w:hint="eastAsia" w:ascii="宋体" w:hAnsi="宋体" w:eastAsia="宋体" w:cs="Times New Roman"/>
          <w:b w:val="0"/>
          <w:bCs w:val="0"/>
          <w:color w:val="000000"/>
          <w:kern w:val="0"/>
          <w:sz w:val="28"/>
          <w:szCs w:val="28"/>
        </w:rPr>
        <w:t>售后服务承诺函（明确响应时间、服务内容、联系方式）；</w:t>
      </w:r>
    </w:p>
    <w:p w14:paraId="2E6B47FE">
      <w:pPr>
        <w:pStyle w:val="22"/>
        <w:widowControl/>
        <w:numPr>
          <w:ilvl w:val="0"/>
          <w:numId w:val="0"/>
        </w:numPr>
        <w:wordWrap w:val="0"/>
        <w:ind w:leftChars="100"/>
        <w:rPr>
          <w:rFonts w:hint="eastAsia" w:ascii="宋体" w:hAnsi="宋体" w:eastAsia="宋体" w:cs="宋体"/>
          <w:b w:val="0"/>
          <w:color w:val="000000"/>
          <w:sz w:val="24"/>
          <w:szCs w:val="24"/>
          <w:lang w:val="en-US" w:eastAsia="zh-CN"/>
        </w:rPr>
      </w:pPr>
      <w:r>
        <w:rPr>
          <w:rFonts w:hint="eastAsia" w:ascii="宋体" w:hAnsi="宋体" w:eastAsia="宋体" w:cs="Times New Roman"/>
          <w:b w:val="0"/>
          <w:bCs w:val="0"/>
          <w:color w:val="000000"/>
          <w:kern w:val="0"/>
          <w:sz w:val="28"/>
          <w:szCs w:val="28"/>
        </w:rPr>
        <w:t>完整的报价清单及项目实施方案。</w:t>
      </w:r>
    </w:p>
    <w:sectPr>
      <w:headerReference r:id="rId3" w:type="default"/>
      <w:footerReference r:id="rId4" w:type="default"/>
      <w:pgSz w:w="11906" w:h="16838"/>
      <w:pgMar w:top="1440" w:right="1440" w:bottom="144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F5A25">
    <w:pPr>
      <w:pStyle w:val="15"/>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3310255</wp:posOffset>
              </wp:positionH>
              <wp:positionV relativeFrom="page">
                <wp:posOffset>9920605</wp:posOffset>
              </wp:positionV>
              <wp:extent cx="1068070" cy="154305"/>
              <wp:effectExtent l="0" t="0" r="0" b="0"/>
              <wp:wrapNone/>
              <wp:docPr id="103" name="文本框 5"/>
              <wp:cNvGraphicFramePr/>
              <a:graphic xmlns:a="http://schemas.openxmlformats.org/drawingml/2006/main">
                <a:graphicData uri="http://schemas.microsoft.com/office/word/2010/wordprocessingShape">
                  <wps:wsp>
                    <wps:cNvSpPr txBox="1"/>
                    <wps:spPr>
                      <a:xfrm>
                        <a:off x="0" y="0"/>
                        <a:ext cx="1068070" cy="154305"/>
                      </a:xfrm>
                      <a:prstGeom prst="rect">
                        <a:avLst/>
                      </a:prstGeom>
                      <a:noFill/>
                      <a:ln>
                        <a:noFill/>
                      </a:ln>
                      <a:effectLst/>
                    </wps:spPr>
                    <wps:txbx>
                      <w:txbxContent>
                        <w:p w14:paraId="6D9CC88F">
                          <w:pPr>
                            <w:spacing w:before="14"/>
                            <w:ind w:left="20"/>
                            <w:rPr>
                              <w:rFonts w:ascii="Times New Roman"/>
                              <w:sz w:val="18"/>
                            </w:rPr>
                          </w:pPr>
                          <w:r>
                            <w:rPr>
                              <w:rFonts w:ascii="Times New Roman"/>
                              <w:sz w:val="18"/>
                            </w:rPr>
                            <w:t xml:space="preserve">第 </w:t>
                          </w:r>
                          <w:r>
                            <w:rPr>
                              <w:rFonts w:ascii="Times New Roman"/>
                              <w:sz w:val="18"/>
                            </w:rPr>
                            <w:fldChar w:fldCharType="begin"/>
                          </w:r>
                          <w:r>
                            <w:rPr>
                              <w:rFonts w:ascii="Times New Roman"/>
                              <w:sz w:val="18"/>
                            </w:rPr>
                            <w:instrText xml:space="preserve"> PAGE  \* MERGEFORMAT </w:instrText>
                          </w:r>
                          <w:r>
                            <w:rPr>
                              <w:rFonts w:ascii="Times New Roman"/>
                              <w:sz w:val="18"/>
                            </w:rPr>
                            <w:fldChar w:fldCharType="separate"/>
                          </w:r>
                          <w:r>
                            <w:rPr>
                              <w:rFonts w:ascii="Times New Roman"/>
                              <w:sz w:val="18"/>
                            </w:rPr>
                            <w:t>2</w:t>
                          </w:r>
                          <w:r>
                            <w:rPr>
                              <w:rFonts w:ascii="Times New Roman"/>
                              <w:sz w:val="18"/>
                            </w:rPr>
                            <w:fldChar w:fldCharType="end"/>
                          </w:r>
                          <w:r>
                            <w:rPr>
                              <w:rFonts w:ascii="Times New Roman"/>
                              <w:sz w:val="18"/>
                            </w:rPr>
                            <w:t xml:space="preserve"> 页 共 </w:t>
                          </w:r>
                          <w:r>
                            <w:rPr>
                              <w:rFonts w:ascii="Times New Roman"/>
                              <w:sz w:val="18"/>
                            </w:rPr>
                            <w:fldChar w:fldCharType="begin"/>
                          </w:r>
                          <w:r>
                            <w:rPr>
                              <w:rFonts w:ascii="Times New Roman"/>
                              <w:sz w:val="18"/>
                            </w:rPr>
                            <w:instrText xml:space="preserve"> NUMPAGES  \* MERGEFORMAT </w:instrText>
                          </w:r>
                          <w:r>
                            <w:rPr>
                              <w:rFonts w:ascii="Times New Roman"/>
                              <w:sz w:val="18"/>
                            </w:rPr>
                            <w:fldChar w:fldCharType="separate"/>
                          </w:r>
                          <w:r>
                            <w:rPr>
                              <w:rFonts w:ascii="Times New Roman"/>
                              <w:sz w:val="18"/>
                            </w:rPr>
                            <w:t>8</w:t>
                          </w:r>
                          <w:r>
                            <w:rPr>
                              <w:rFonts w:ascii="Times New Roman"/>
                              <w:sz w:val="18"/>
                            </w:rPr>
                            <w:fldChar w:fldCharType="end"/>
                          </w:r>
                          <w:r>
                            <w:rPr>
                              <w:rFonts w:ascii="Times New Roman"/>
                              <w:sz w:val="18"/>
                            </w:rPr>
                            <w:t xml:space="preserve"> 页</w:t>
                          </w:r>
                        </w:p>
                      </w:txbxContent>
                    </wps:txbx>
                    <wps:bodyPr lIns="0" tIns="0" rIns="0" bIns="0" upright="1"/>
                  </wps:wsp>
                </a:graphicData>
              </a:graphic>
            </wp:anchor>
          </w:drawing>
        </mc:Choice>
        <mc:Fallback>
          <w:pict>
            <v:shape id="文本框 5" o:spid="_x0000_s1026" o:spt="202" type="#_x0000_t202" style="position:absolute;left:0pt;margin-left:260.65pt;margin-top:781.15pt;height:12.15pt;width:84.1pt;mso-position-horizontal-relative:page;mso-position-vertical-relative:page;z-index:-251653120;mso-width-relative:page;mso-height-relative:page;" filled="f" stroked="f" coordsize="21600,21600" o:gfxdata="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tNOhT2gAAAA0BAAAPAAAAAAAAAAEAIAAAACIAAABkcnMvZG93bnJldi54&#10;bWxQSwECFAAUAAAACACHTuJATmi2HL8BAACCAwAADgAAAAAAAAABACAAAAApAQAAZHJzL2Uyb0Rv&#10;Yy54bWxQSwUGAAAAAAYABgBZAQAAWgUAAAAA&#10;">
              <v:fill on="f" focussize="0,0"/>
              <v:stroke on="f"/>
              <v:imagedata o:title=""/>
              <o:lock v:ext="edit" aspectratio="f"/>
              <v:textbox inset="0mm,0mm,0mm,0mm">
                <w:txbxContent>
                  <w:p w14:paraId="6D9CC88F">
                    <w:pPr>
                      <w:spacing w:before="14"/>
                      <w:ind w:left="20"/>
                      <w:rPr>
                        <w:rFonts w:ascii="Times New Roman"/>
                        <w:sz w:val="18"/>
                      </w:rPr>
                    </w:pPr>
                    <w:r>
                      <w:rPr>
                        <w:rFonts w:ascii="Times New Roman"/>
                        <w:sz w:val="18"/>
                      </w:rPr>
                      <w:t xml:space="preserve">第 </w:t>
                    </w:r>
                    <w:r>
                      <w:rPr>
                        <w:rFonts w:ascii="Times New Roman"/>
                        <w:sz w:val="18"/>
                      </w:rPr>
                      <w:fldChar w:fldCharType="begin"/>
                    </w:r>
                    <w:r>
                      <w:rPr>
                        <w:rFonts w:ascii="Times New Roman"/>
                        <w:sz w:val="18"/>
                      </w:rPr>
                      <w:instrText xml:space="preserve"> PAGE  \* MERGEFORMAT </w:instrText>
                    </w:r>
                    <w:r>
                      <w:rPr>
                        <w:rFonts w:ascii="Times New Roman"/>
                        <w:sz w:val="18"/>
                      </w:rPr>
                      <w:fldChar w:fldCharType="separate"/>
                    </w:r>
                    <w:r>
                      <w:rPr>
                        <w:rFonts w:ascii="Times New Roman"/>
                        <w:sz w:val="18"/>
                      </w:rPr>
                      <w:t>2</w:t>
                    </w:r>
                    <w:r>
                      <w:rPr>
                        <w:rFonts w:ascii="Times New Roman"/>
                        <w:sz w:val="18"/>
                      </w:rPr>
                      <w:fldChar w:fldCharType="end"/>
                    </w:r>
                    <w:r>
                      <w:rPr>
                        <w:rFonts w:ascii="Times New Roman"/>
                        <w:sz w:val="18"/>
                      </w:rPr>
                      <w:t xml:space="preserve"> 页 共 </w:t>
                    </w:r>
                    <w:r>
                      <w:rPr>
                        <w:rFonts w:ascii="Times New Roman"/>
                        <w:sz w:val="18"/>
                      </w:rPr>
                      <w:fldChar w:fldCharType="begin"/>
                    </w:r>
                    <w:r>
                      <w:rPr>
                        <w:rFonts w:ascii="Times New Roman"/>
                        <w:sz w:val="18"/>
                      </w:rPr>
                      <w:instrText xml:space="preserve"> NUMPAGES  \* MERGEFORMAT </w:instrText>
                    </w:r>
                    <w:r>
                      <w:rPr>
                        <w:rFonts w:ascii="Times New Roman"/>
                        <w:sz w:val="18"/>
                      </w:rPr>
                      <w:fldChar w:fldCharType="separate"/>
                    </w:r>
                    <w:r>
                      <w:rPr>
                        <w:rFonts w:ascii="Times New Roman"/>
                        <w:sz w:val="18"/>
                      </w:rPr>
                      <w:t>8</w:t>
                    </w:r>
                    <w:r>
                      <w:rPr>
                        <w:rFonts w:ascii="Times New Roman"/>
                        <w:sz w:val="18"/>
                      </w:rPr>
                      <w:fldChar w:fldCharType="end"/>
                    </w:r>
                    <w:r>
                      <w:rPr>
                        <w:rFonts w:ascii="Times New Roman"/>
                        <w:sz w:val="18"/>
                      </w:rPr>
                      <w:t xml:space="preserve"> 页</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3752215</wp:posOffset>
              </wp:positionH>
              <wp:positionV relativeFrom="page">
                <wp:posOffset>9933305</wp:posOffset>
              </wp:positionV>
              <wp:extent cx="57150" cy="127000"/>
              <wp:effectExtent l="0" t="0" r="0" b="0"/>
              <wp:wrapNone/>
              <wp:docPr id="101" name="文本框 3"/>
              <wp:cNvGraphicFramePr/>
              <a:graphic xmlns:a="http://schemas.openxmlformats.org/drawingml/2006/main">
                <a:graphicData uri="http://schemas.microsoft.com/office/word/2010/wordprocessingShape">
                  <wps:wsp>
                    <wps:cNvSpPr txBox="1"/>
                    <wps:spPr>
                      <a:xfrm>
                        <a:off x="0" y="0"/>
                        <a:ext cx="57150" cy="127000"/>
                      </a:xfrm>
                      <a:prstGeom prst="rect">
                        <a:avLst/>
                      </a:prstGeom>
                      <a:noFill/>
                      <a:ln>
                        <a:noFill/>
                      </a:ln>
                      <a:effectLst/>
                    </wps:spPr>
                    <wps:txbx>
                      <w:txbxContent>
                        <w:p w14:paraId="44F57483">
                          <w:pPr>
                            <w:spacing w:line="199" w:lineRule="exact"/>
                            <w:rPr>
                              <w:rFonts w:ascii="Times New Roman"/>
                              <w:sz w:val="18"/>
                            </w:rPr>
                          </w:pPr>
                          <w:r>
                            <w:rPr>
                              <w:rFonts w:ascii="Times New Roman"/>
                              <w:sz w:val="18"/>
                            </w:rPr>
                            <w:t>1</w:t>
                          </w:r>
                        </w:p>
                      </w:txbxContent>
                    </wps:txbx>
                    <wps:bodyPr lIns="0" tIns="0" rIns="0" bIns="0" upright="1"/>
                  </wps:wsp>
                </a:graphicData>
              </a:graphic>
            </wp:anchor>
          </w:drawing>
        </mc:Choice>
        <mc:Fallback>
          <w:pict>
            <v:shape id="文本框 3" o:spid="_x0000_s1026" o:spt="202" type="#_x0000_t202" style="position:absolute;left:0pt;margin-left:295.45pt;margin-top:782.15pt;height:10pt;width:4.5pt;mso-position-horizontal-relative:page;mso-position-vertical-relative:page;z-index:-251655168;mso-width-relative:page;mso-height-relative:page;" filled="f" stroked="f" coordsize="21600,21600" o:gfxdata="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fX6IrZAAAADQEAAA8AAAAAAAAAAQAgAAAAIgAAAGRycy9kb3ducmV2Lnht&#10;bFBLAQIUABQAAAAIAIdO4kAnv+B5vwEAAIADAAAOAAAAAAAAAAEAIAAAACgBAABkcnMvZTJvRG9j&#10;LnhtbFBLBQYAAAAABgAGAFkBAABZBQAAAAA=&#10;">
              <v:fill on="f" focussize="0,0"/>
              <v:stroke on="f"/>
              <v:imagedata o:title=""/>
              <o:lock v:ext="edit" aspectratio="f"/>
              <v:textbox inset="0mm,0mm,0mm,0mm">
                <w:txbxContent>
                  <w:p w14:paraId="44F57483">
                    <w:pPr>
                      <w:spacing w:line="199" w:lineRule="exact"/>
                      <w:rPr>
                        <w:rFonts w:ascii="Times New Roman"/>
                        <w:sz w:val="18"/>
                      </w:rPr>
                    </w:pPr>
                    <w:r>
                      <w:rPr>
                        <w:rFonts w:ascii="Times New Roman"/>
                        <w:sz w:val="18"/>
                      </w:rPr>
                      <w:t>1</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3780790</wp:posOffset>
              </wp:positionH>
              <wp:positionV relativeFrom="page">
                <wp:posOffset>9932670</wp:posOffset>
              </wp:positionV>
              <wp:extent cx="0" cy="130810"/>
              <wp:effectExtent l="27940" t="0" r="29210" b="2540"/>
              <wp:wrapNone/>
              <wp:docPr id="102" name="直线 4"/>
              <wp:cNvGraphicFramePr/>
              <a:graphic xmlns:a="http://schemas.openxmlformats.org/drawingml/2006/main">
                <a:graphicData uri="http://schemas.microsoft.com/office/word/2010/wordprocessingShape">
                  <wps:wsp>
                    <wps:cNvCnPr/>
                    <wps:spPr>
                      <a:xfrm>
                        <a:off x="0" y="0"/>
                        <a:ext cx="0" cy="130810"/>
                      </a:xfrm>
                      <a:prstGeom prst="line">
                        <a:avLst/>
                      </a:prstGeom>
                      <a:ln w="56388" cap="flat" cmpd="sng">
                        <a:solidFill>
                          <a:srgbClr val="FFFFFF"/>
                        </a:solidFill>
                        <a:prstDash val="solid"/>
                        <a:headEnd type="none" w="med" len="med"/>
                        <a:tailEnd type="none" w="med" len="med"/>
                      </a:ln>
                      <a:effectLst/>
                    </wps:spPr>
                    <wps:bodyPr/>
                  </wps:wsp>
                </a:graphicData>
              </a:graphic>
            </wp:anchor>
          </w:drawing>
        </mc:Choice>
        <mc:Fallback>
          <w:pict>
            <v:line id="直线 4" o:spid="_x0000_s1026" o:spt="20" style="position:absolute;left:0pt;margin-left:297.7pt;margin-top:782.1pt;height:10.3pt;width:0pt;mso-position-horizontal-relative:page;mso-position-vertical-relative:page;z-index:-251654144;mso-width-relative:page;mso-height-relative:page;" filled="f" stroked="t" coordsize="21600,21600" o:gfxdata="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rI&#10;Ob3bAAAADQEAAA8AAAAAAAAAAQAgAAAAIgAAAGRycy9kb3ducmV2LnhtbFBLAQIUABQAAAAIAIdO&#10;4kATo9tV5wEAAN8DAAAOAAAAAAAAAAEAIAAAACoBAABkcnMvZTJvRG9jLnhtbFBLBQYAAAAABgAG&#10;AFkBAACDBQAAAAA=&#10;">
              <v:fill on="f" focussize="0,0"/>
              <v:stroke weight="4.44pt" color="#FFFFFF"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086AF">
    <w:pPr>
      <w:pStyle w:val="1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544195</wp:posOffset>
              </wp:positionV>
              <wp:extent cx="1625600" cy="139700"/>
              <wp:effectExtent l="0" t="0" r="0" b="0"/>
              <wp:wrapNone/>
              <wp:docPr id="99" name="文本框 1"/>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14:paraId="5A45000D">
                          <w:pPr>
                            <w:spacing w:line="220" w:lineRule="exact"/>
                            <w:rPr>
                              <w:sz w:val="18"/>
                            </w:rPr>
                          </w:pPr>
                        </w:p>
                      </w:txbxContent>
                    </wps:txbx>
                    <wps:bodyPr lIns="0" tIns="0" rIns="0" bIns="0" upright="1"/>
                  </wps:wsp>
                </a:graphicData>
              </a:graphic>
            </wp:anchor>
          </w:drawing>
        </mc:Choice>
        <mc:Fallback>
          <w:pict>
            <v:shape id="文本框 1" o:spid="_x0000_s1026" o:spt="202" type="#_x0000_t202" style="position:absolute;left:0pt;margin-left:89pt;margin-top:42.85pt;height:11pt;width:128pt;mso-position-horizontal-relative:page;mso-position-vertical-relative:page;z-index:-251657216;mso-width-relative:page;mso-height-relative:page;" filled="f" stroked="f" coordsize="21600,21600" o:gfxdata="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xoKCtgAAAAKAQAADwAAAAAAAAABACAAAAAiAAAAZHJzL2Rvd25yZXYueG1s&#10;UEsBAhQAFAAAAAgAh07iQNpwPpu/AQAAgQMAAA4AAAAAAAAAAQAgAAAAJwEAAGRycy9lMm9Eb2Mu&#10;eG1sUEsFBgAAAAAGAAYAWQEAAFgFAAAAAA==&#10;">
              <v:fill on="f" focussize="0,0"/>
              <v:stroke on="f"/>
              <v:imagedata o:title=""/>
              <o:lock v:ext="edit" aspectratio="f"/>
              <v:textbox inset="0mm,0mm,0mm,0mm">
                <w:txbxContent>
                  <w:p w14:paraId="5A45000D">
                    <w:pPr>
                      <w:spacing w:line="220" w:lineRule="exact"/>
                      <w:rPr>
                        <w:sz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5475605</wp:posOffset>
              </wp:positionH>
              <wp:positionV relativeFrom="page">
                <wp:posOffset>540385</wp:posOffset>
              </wp:positionV>
              <wp:extent cx="845185" cy="152400"/>
              <wp:effectExtent l="0" t="0" r="0" b="0"/>
              <wp:wrapNone/>
              <wp:docPr id="100" name="文本框 2"/>
              <wp:cNvGraphicFramePr/>
              <a:graphic xmlns:a="http://schemas.openxmlformats.org/drawingml/2006/main">
                <a:graphicData uri="http://schemas.microsoft.com/office/word/2010/wordprocessingShape">
                  <wps:wsp>
                    <wps:cNvSpPr txBox="1"/>
                    <wps:spPr>
                      <a:xfrm>
                        <a:off x="0" y="0"/>
                        <a:ext cx="845185" cy="152400"/>
                      </a:xfrm>
                      <a:prstGeom prst="rect">
                        <a:avLst/>
                      </a:prstGeom>
                      <a:noFill/>
                      <a:ln>
                        <a:noFill/>
                      </a:ln>
                      <a:effectLst/>
                    </wps:spPr>
                    <wps:txbx>
                      <w:txbxContent>
                        <w:p w14:paraId="565CF234">
                          <w:pPr>
                            <w:spacing w:before="12"/>
                            <w:rPr>
                              <w:sz w:val="18"/>
                            </w:rPr>
                          </w:pPr>
                        </w:p>
                      </w:txbxContent>
                    </wps:txbx>
                    <wps:bodyPr lIns="0" tIns="0" rIns="0" bIns="0" upright="1"/>
                  </wps:wsp>
                </a:graphicData>
              </a:graphic>
            </wp:anchor>
          </w:drawing>
        </mc:Choice>
        <mc:Fallback>
          <w:pict>
            <v:shape id="文本框 2" o:spid="_x0000_s1026" o:spt="202" type="#_x0000_t202" style="position:absolute;left:0pt;margin-left:431.15pt;margin-top:42.55pt;height:12pt;width:66.55pt;mso-position-horizontal-relative:page;mso-position-vertical-relative:page;z-index:-251656192;mso-width-relative:page;mso-height-relative:page;" filled="f" stroked="f" coordsize="21600,21600" o:gfxdata="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rCDLfZAAAACgEAAA8AAAAAAAAAAQAgAAAAIgAAAGRycy9kb3ducmV2Lnht&#10;bFBLAQIUABQAAAAIAIdO4kDp7ocovwEAAIEDAAAOAAAAAAAAAAEAIAAAACgBAABkcnMvZTJvRG9j&#10;LnhtbFBLBQYAAAAABgAGAFkBAABZBQAAAAA=&#10;">
              <v:fill on="f" focussize="0,0"/>
              <v:stroke on="f"/>
              <v:imagedata o:title=""/>
              <o:lock v:ext="edit" aspectratio="f"/>
              <v:textbox inset="0mm,0mm,0mm,0mm">
                <w:txbxContent>
                  <w:p w14:paraId="565CF234">
                    <w:pPr>
                      <w:spacing w:before="12"/>
                      <w:rPr>
                        <w:sz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19BDD"/>
    <w:multiLevelType w:val="singleLevel"/>
    <w:tmpl w:val="AAF19BDD"/>
    <w:lvl w:ilvl="0" w:tentative="0">
      <w:start w:val="1"/>
      <w:numFmt w:val="chineseCounting"/>
      <w:suff w:val="nothing"/>
      <w:lvlText w:val="%1、"/>
      <w:lvlJc w:val="left"/>
      <w:pPr>
        <w:ind w:left="-280" w:leftChars="0" w:firstLine="0" w:firstLineChars="0"/>
      </w:pPr>
      <w:rPr>
        <w:rFonts w:hint="eastAsia" w:ascii="宋体" w:hAnsi="宋体" w:eastAsia="宋体" w:cs="宋体"/>
        <w:sz w:val="24"/>
        <w:szCs w:val="24"/>
      </w:rPr>
    </w:lvl>
  </w:abstractNum>
  <w:abstractNum w:abstractNumId="1">
    <w:nsid w:val="B0838107"/>
    <w:multiLevelType w:val="singleLevel"/>
    <w:tmpl w:val="B0838107"/>
    <w:lvl w:ilvl="0" w:tentative="0">
      <w:start w:val="1"/>
      <w:numFmt w:val="decimal"/>
      <w:suff w:val="nothing"/>
      <w:lvlText w:val="%1．"/>
      <w:lvlJc w:val="left"/>
      <w:pPr>
        <w:ind w:left="0" w:firstLine="400"/>
      </w:pPr>
      <w:rPr>
        <w:rFonts w:hint="default"/>
      </w:rPr>
    </w:lvl>
  </w:abstractNum>
  <w:abstractNum w:abstractNumId="2">
    <w:nsid w:val="7A711CB2"/>
    <w:multiLevelType w:val="singleLevel"/>
    <w:tmpl w:val="7A711CB2"/>
    <w:lvl w:ilvl="0" w:tentative="0">
      <w:start w:val="1"/>
      <w:numFmt w:val="decimal"/>
      <w:lvlText w:val="3.%1"/>
      <w:lvlJc w:val="left"/>
      <w:pPr>
        <w:tabs>
          <w:tab w:val="left" w:pos="210"/>
        </w:tabs>
        <w:ind w:left="0" w:firstLine="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ZDc2ZWZjMDg2MTg3MmI2YmIxN2Y0OGJlMjIyMjMifQ=="/>
  </w:docVars>
  <w:rsids>
    <w:rsidRoot w:val="00172A27"/>
    <w:rsid w:val="00000811"/>
    <w:rsid w:val="000032B5"/>
    <w:rsid w:val="0001136F"/>
    <w:rsid w:val="000160DA"/>
    <w:rsid w:val="00032601"/>
    <w:rsid w:val="00046499"/>
    <w:rsid w:val="00087033"/>
    <w:rsid w:val="00087EF0"/>
    <w:rsid w:val="000A10C4"/>
    <w:rsid w:val="000A28B0"/>
    <w:rsid w:val="000A74DB"/>
    <w:rsid w:val="000C3672"/>
    <w:rsid w:val="000C46FD"/>
    <w:rsid w:val="000E6DC9"/>
    <w:rsid w:val="000F73E5"/>
    <w:rsid w:val="00117656"/>
    <w:rsid w:val="0014559F"/>
    <w:rsid w:val="0014580A"/>
    <w:rsid w:val="00192562"/>
    <w:rsid w:val="00192A4A"/>
    <w:rsid w:val="00195027"/>
    <w:rsid w:val="001A53B5"/>
    <w:rsid w:val="001B1CEB"/>
    <w:rsid w:val="001B736F"/>
    <w:rsid w:val="001C0434"/>
    <w:rsid w:val="001E5CB3"/>
    <w:rsid w:val="0020367F"/>
    <w:rsid w:val="002213F2"/>
    <w:rsid w:val="00252CDC"/>
    <w:rsid w:val="002627E6"/>
    <w:rsid w:val="00271BF8"/>
    <w:rsid w:val="00271E5D"/>
    <w:rsid w:val="00281DE0"/>
    <w:rsid w:val="002A6D13"/>
    <w:rsid w:val="002C1A19"/>
    <w:rsid w:val="002E2235"/>
    <w:rsid w:val="003020B1"/>
    <w:rsid w:val="00337BA1"/>
    <w:rsid w:val="00337BAA"/>
    <w:rsid w:val="00343046"/>
    <w:rsid w:val="00343627"/>
    <w:rsid w:val="003742F5"/>
    <w:rsid w:val="003744E7"/>
    <w:rsid w:val="00374B7C"/>
    <w:rsid w:val="003A1E4E"/>
    <w:rsid w:val="003A3472"/>
    <w:rsid w:val="003A6412"/>
    <w:rsid w:val="003C7888"/>
    <w:rsid w:val="00426CD8"/>
    <w:rsid w:val="004457B3"/>
    <w:rsid w:val="0045610E"/>
    <w:rsid w:val="004C162C"/>
    <w:rsid w:val="004C4481"/>
    <w:rsid w:val="004C7266"/>
    <w:rsid w:val="004D70E3"/>
    <w:rsid w:val="004E6FBE"/>
    <w:rsid w:val="005176CE"/>
    <w:rsid w:val="0052372C"/>
    <w:rsid w:val="005250CE"/>
    <w:rsid w:val="00534606"/>
    <w:rsid w:val="005400C7"/>
    <w:rsid w:val="0055681B"/>
    <w:rsid w:val="005805B9"/>
    <w:rsid w:val="005909CA"/>
    <w:rsid w:val="00594B65"/>
    <w:rsid w:val="005B7582"/>
    <w:rsid w:val="005D55F6"/>
    <w:rsid w:val="005E0E2D"/>
    <w:rsid w:val="005E36D2"/>
    <w:rsid w:val="006016E9"/>
    <w:rsid w:val="006068E1"/>
    <w:rsid w:val="00654E1F"/>
    <w:rsid w:val="00655BE5"/>
    <w:rsid w:val="00687E5C"/>
    <w:rsid w:val="00695467"/>
    <w:rsid w:val="006B4ECD"/>
    <w:rsid w:val="006C5265"/>
    <w:rsid w:val="006D2998"/>
    <w:rsid w:val="00713D0D"/>
    <w:rsid w:val="007660A0"/>
    <w:rsid w:val="00775D38"/>
    <w:rsid w:val="00787C81"/>
    <w:rsid w:val="00791A89"/>
    <w:rsid w:val="007A18FB"/>
    <w:rsid w:val="007C6934"/>
    <w:rsid w:val="007D3D1B"/>
    <w:rsid w:val="007F55AC"/>
    <w:rsid w:val="00806383"/>
    <w:rsid w:val="00813130"/>
    <w:rsid w:val="00824AD2"/>
    <w:rsid w:val="00824CC3"/>
    <w:rsid w:val="008579C4"/>
    <w:rsid w:val="008720E5"/>
    <w:rsid w:val="00876477"/>
    <w:rsid w:val="00884A92"/>
    <w:rsid w:val="008A693C"/>
    <w:rsid w:val="008B2405"/>
    <w:rsid w:val="008D1FD9"/>
    <w:rsid w:val="008E2CD2"/>
    <w:rsid w:val="008F7DAE"/>
    <w:rsid w:val="0090675F"/>
    <w:rsid w:val="00944470"/>
    <w:rsid w:val="009544B4"/>
    <w:rsid w:val="009924E2"/>
    <w:rsid w:val="00996581"/>
    <w:rsid w:val="009C1DC2"/>
    <w:rsid w:val="009C67BE"/>
    <w:rsid w:val="009E28C4"/>
    <w:rsid w:val="009F4C3D"/>
    <w:rsid w:val="00A00050"/>
    <w:rsid w:val="00A21782"/>
    <w:rsid w:val="00A36011"/>
    <w:rsid w:val="00A82ACF"/>
    <w:rsid w:val="00AA3C95"/>
    <w:rsid w:val="00AA4DF9"/>
    <w:rsid w:val="00AD7490"/>
    <w:rsid w:val="00AF4985"/>
    <w:rsid w:val="00B079B7"/>
    <w:rsid w:val="00B131E9"/>
    <w:rsid w:val="00B44E3A"/>
    <w:rsid w:val="00B64FF6"/>
    <w:rsid w:val="00B678FD"/>
    <w:rsid w:val="00BB7CF1"/>
    <w:rsid w:val="00BD0844"/>
    <w:rsid w:val="00BD3A07"/>
    <w:rsid w:val="00BE60E7"/>
    <w:rsid w:val="00BE7BED"/>
    <w:rsid w:val="00C1716E"/>
    <w:rsid w:val="00C4197A"/>
    <w:rsid w:val="00C500CF"/>
    <w:rsid w:val="00C50EC1"/>
    <w:rsid w:val="00C6512A"/>
    <w:rsid w:val="00C75071"/>
    <w:rsid w:val="00CD1F34"/>
    <w:rsid w:val="00CE35D2"/>
    <w:rsid w:val="00CF123E"/>
    <w:rsid w:val="00CF4866"/>
    <w:rsid w:val="00D00017"/>
    <w:rsid w:val="00D02760"/>
    <w:rsid w:val="00D04324"/>
    <w:rsid w:val="00D048AE"/>
    <w:rsid w:val="00D04943"/>
    <w:rsid w:val="00D10053"/>
    <w:rsid w:val="00D22A6B"/>
    <w:rsid w:val="00D33BC3"/>
    <w:rsid w:val="00D353BC"/>
    <w:rsid w:val="00D514DA"/>
    <w:rsid w:val="00D557B0"/>
    <w:rsid w:val="00D90740"/>
    <w:rsid w:val="00DB20DE"/>
    <w:rsid w:val="00DD1C4B"/>
    <w:rsid w:val="00DD3B0F"/>
    <w:rsid w:val="00DE5AEA"/>
    <w:rsid w:val="00DF1691"/>
    <w:rsid w:val="00DF67CB"/>
    <w:rsid w:val="00E11D8E"/>
    <w:rsid w:val="00E545CC"/>
    <w:rsid w:val="00E5508E"/>
    <w:rsid w:val="00E93B68"/>
    <w:rsid w:val="00EA0A71"/>
    <w:rsid w:val="00EA1560"/>
    <w:rsid w:val="00ED73F9"/>
    <w:rsid w:val="00ED7606"/>
    <w:rsid w:val="00F0418C"/>
    <w:rsid w:val="00F60604"/>
    <w:rsid w:val="00F66005"/>
    <w:rsid w:val="00F7126D"/>
    <w:rsid w:val="00F82369"/>
    <w:rsid w:val="00F8293E"/>
    <w:rsid w:val="00F85C4D"/>
    <w:rsid w:val="00F87108"/>
    <w:rsid w:val="00F90416"/>
    <w:rsid w:val="00FD0D07"/>
    <w:rsid w:val="00FF2125"/>
    <w:rsid w:val="0126389F"/>
    <w:rsid w:val="01E675CC"/>
    <w:rsid w:val="02032FE7"/>
    <w:rsid w:val="0210549F"/>
    <w:rsid w:val="02185038"/>
    <w:rsid w:val="02284EF1"/>
    <w:rsid w:val="02F05969"/>
    <w:rsid w:val="03254E27"/>
    <w:rsid w:val="03547EE0"/>
    <w:rsid w:val="039667A9"/>
    <w:rsid w:val="03B7227C"/>
    <w:rsid w:val="040C787B"/>
    <w:rsid w:val="04DC643E"/>
    <w:rsid w:val="04EC7CA1"/>
    <w:rsid w:val="04F03C97"/>
    <w:rsid w:val="051026CC"/>
    <w:rsid w:val="0576374F"/>
    <w:rsid w:val="05EC1ED7"/>
    <w:rsid w:val="06384E61"/>
    <w:rsid w:val="06400C90"/>
    <w:rsid w:val="0665037A"/>
    <w:rsid w:val="06B37672"/>
    <w:rsid w:val="06D3327A"/>
    <w:rsid w:val="06F35BF5"/>
    <w:rsid w:val="076F17EB"/>
    <w:rsid w:val="077C4592"/>
    <w:rsid w:val="07E179CC"/>
    <w:rsid w:val="07F55128"/>
    <w:rsid w:val="082A1146"/>
    <w:rsid w:val="08407119"/>
    <w:rsid w:val="088821BA"/>
    <w:rsid w:val="08A90D2D"/>
    <w:rsid w:val="090D39E7"/>
    <w:rsid w:val="0922463B"/>
    <w:rsid w:val="09552E52"/>
    <w:rsid w:val="09740E49"/>
    <w:rsid w:val="09AC3331"/>
    <w:rsid w:val="0A0861E8"/>
    <w:rsid w:val="0A6F35B0"/>
    <w:rsid w:val="0A704377"/>
    <w:rsid w:val="0A860446"/>
    <w:rsid w:val="0B8469CA"/>
    <w:rsid w:val="0B91417E"/>
    <w:rsid w:val="0BA92DF2"/>
    <w:rsid w:val="0BB85E5D"/>
    <w:rsid w:val="0BE96F8B"/>
    <w:rsid w:val="0C3923C8"/>
    <w:rsid w:val="0C5A6FE9"/>
    <w:rsid w:val="0CB7328E"/>
    <w:rsid w:val="0CEA5470"/>
    <w:rsid w:val="0CEB10EF"/>
    <w:rsid w:val="0D240982"/>
    <w:rsid w:val="0D9A44EF"/>
    <w:rsid w:val="0DB00467"/>
    <w:rsid w:val="0DB8731C"/>
    <w:rsid w:val="0DCD49E2"/>
    <w:rsid w:val="0DD73C46"/>
    <w:rsid w:val="0DDB59D7"/>
    <w:rsid w:val="0DE73C0B"/>
    <w:rsid w:val="0DEC6F9A"/>
    <w:rsid w:val="0E22306E"/>
    <w:rsid w:val="0E2A67ED"/>
    <w:rsid w:val="0E356BBF"/>
    <w:rsid w:val="0EA0246B"/>
    <w:rsid w:val="0F1B6FAF"/>
    <w:rsid w:val="0F940964"/>
    <w:rsid w:val="0FCD3553"/>
    <w:rsid w:val="10AE0A4F"/>
    <w:rsid w:val="11AC3BE5"/>
    <w:rsid w:val="11FA7497"/>
    <w:rsid w:val="12011292"/>
    <w:rsid w:val="1257178E"/>
    <w:rsid w:val="12691013"/>
    <w:rsid w:val="12FD339F"/>
    <w:rsid w:val="130701B4"/>
    <w:rsid w:val="13E37621"/>
    <w:rsid w:val="14616552"/>
    <w:rsid w:val="14680271"/>
    <w:rsid w:val="14742F62"/>
    <w:rsid w:val="15436C5F"/>
    <w:rsid w:val="158C3DA3"/>
    <w:rsid w:val="158F4E06"/>
    <w:rsid w:val="15A12014"/>
    <w:rsid w:val="15D57524"/>
    <w:rsid w:val="15F13700"/>
    <w:rsid w:val="16CA55CE"/>
    <w:rsid w:val="16D95AF6"/>
    <w:rsid w:val="171031B7"/>
    <w:rsid w:val="171509F9"/>
    <w:rsid w:val="175D3185"/>
    <w:rsid w:val="176B7CC8"/>
    <w:rsid w:val="17FF1B8F"/>
    <w:rsid w:val="1844012A"/>
    <w:rsid w:val="18AD2173"/>
    <w:rsid w:val="194B7042"/>
    <w:rsid w:val="195906B8"/>
    <w:rsid w:val="19642B69"/>
    <w:rsid w:val="198C4E1E"/>
    <w:rsid w:val="199F5A25"/>
    <w:rsid w:val="1A626057"/>
    <w:rsid w:val="1AB772D9"/>
    <w:rsid w:val="1AC65778"/>
    <w:rsid w:val="1B40258D"/>
    <w:rsid w:val="1B7D7960"/>
    <w:rsid w:val="1C0A0424"/>
    <w:rsid w:val="1C347356"/>
    <w:rsid w:val="1CAC4FF0"/>
    <w:rsid w:val="1D4E2AE9"/>
    <w:rsid w:val="1D6B7F07"/>
    <w:rsid w:val="1D7170E9"/>
    <w:rsid w:val="1DAD174D"/>
    <w:rsid w:val="1E206F43"/>
    <w:rsid w:val="1E4D4545"/>
    <w:rsid w:val="1EBF675C"/>
    <w:rsid w:val="1EDC6280"/>
    <w:rsid w:val="1F4020DC"/>
    <w:rsid w:val="201E6E23"/>
    <w:rsid w:val="2041049D"/>
    <w:rsid w:val="20BE6C76"/>
    <w:rsid w:val="20DC6910"/>
    <w:rsid w:val="213056EF"/>
    <w:rsid w:val="21722306"/>
    <w:rsid w:val="21C4406F"/>
    <w:rsid w:val="21DE0C9C"/>
    <w:rsid w:val="21F10CD2"/>
    <w:rsid w:val="228C51A5"/>
    <w:rsid w:val="22D0173A"/>
    <w:rsid w:val="22DC0D72"/>
    <w:rsid w:val="22DF3B7B"/>
    <w:rsid w:val="239A6E40"/>
    <w:rsid w:val="239E2F81"/>
    <w:rsid w:val="23B41DD5"/>
    <w:rsid w:val="23C91E2B"/>
    <w:rsid w:val="248D0A22"/>
    <w:rsid w:val="24A03760"/>
    <w:rsid w:val="24B47844"/>
    <w:rsid w:val="255B2F57"/>
    <w:rsid w:val="255B4D05"/>
    <w:rsid w:val="25830689"/>
    <w:rsid w:val="26281DAA"/>
    <w:rsid w:val="26464434"/>
    <w:rsid w:val="277410C6"/>
    <w:rsid w:val="27A91D58"/>
    <w:rsid w:val="27D551E6"/>
    <w:rsid w:val="280B0C36"/>
    <w:rsid w:val="280E640F"/>
    <w:rsid w:val="280E7B49"/>
    <w:rsid w:val="286938B9"/>
    <w:rsid w:val="28814A67"/>
    <w:rsid w:val="288340F5"/>
    <w:rsid w:val="28E07BA3"/>
    <w:rsid w:val="290224C2"/>
    <w:rsid w:val="29261528"/>
    <w:rsid w:val="292A511A"/>
    <w:rsid w:val="29C226A4"/>
    <w:rsid w:val="2A1D6A2D"/>
    <w:rsid w:val="2A426FA9"/>
    <w:rsid w:val="2ADD659C"/>
    <w:rsid w:val="2B024ADB"/>
    <w:rsid w:val="2B7A2A7C"/>
    <w:rsid w:val="2C5F50DB"/>
    <w:rsid w:val="2C67306E"/>
    <w:rsid w:val="2CB01DE7"/>
    <w:rsid w:val="2CE756F9"/>
    <w:rsid w:val="2D58666D"/>
    <w:rsid w:val="2D7B39D1"/>
    <w:rsid w:val="2DB518D4"/>
    <w:rsid w:val="2E1F04ED"/>
    <w:rsid w:val="2E60513A"/>
    <w:rsid w:val="2E9E682F"/>
    <w:rsid w:val="2EC658E5"/>
    <w:rsid w:val="2FA92333"/>
    <w:rsid w:val="2FAA0002"/>
    <w:rsid w:val="2FBB5237"/>
    <w:rsid w:val="3071686A"/>
    <w:rsid w:val="30BB46D0"/>
    <w:rsid w:val="30E1233D"/>
    <w:rsid w:val="3110132A"/>
    <w:rsid w:val="3129455C"/>
    <w:rsid w:val="313F30D0"/>
    <w:rsid w:val="31602E3A"/>
    <w:rsid w:val="317B3ADF"/>
    <w:rsid w:val="319770C5"/>
    <w:rsid w:val="31982E22"/>
    <w:rsid w:val="31B425B2"/>
    <w:rsid w:val="31F76B91"/>
    <w:rsid w:val="324E4320"/>
    <w:rsid w:val="32781B42"/>
    <w:rsid w:val="329F26D5"/>
    <w:rsid w:val="32EB68EF"/>
    <w:rsid w:val="335723D9"/>
    <w:rsid w:val="349B39B3"/>
    <w:rsid w:val="349E5840"/>
    <w:rsid w:val="34AC2E87"/>
    <w:rsid w:val="34B92BC2"/>
    <w:rsid w:val="351B4E78"/>
    <w:rsid w:val="358F53D2"/>
    <w:rsid w:val="35C12114"/>
    <w:rsid w:val="35C13D40"/>
    <w:rsid w:val="35C867B6"/>
    <w:rsid w:val="35EA0186"/>
    <w:rsid w:val="35F14FF3"/>
    <w:rsid w:val="362353CB"/>
    <w:rsid w:val="363C4601"/>
    <w:rsid w:val="36751A41"/>
    <w:rsid w:val="367543ED"/>
    <w:rsid w:val="3687595A"/>
    <w:rsid w:val="36C216B1"/>
    <w:rsid w:val="36C4095C"/>
    <w:rsid w:val="375241BA"/>
    <w:rsid w:val="375C0B95"/>
    <w:rsid w:val="37DF6C05"/>
    <w:rsid w:val="381550C3"/>
    <w:rsid w:val="38210D36"/>
    <w:rsid w:val="38647981"/>
    <w:rsid w:val="38861F3D"/>
    <w:rsid w:val="38B71EA1"/>
    <w:rsid w:val="39776DA8"/>
    <w:rsid w:val="39833AA4"/>
    <w:rsid w:val="399B5BA1"/>
    <w:rsid w:val="39AF782D"/>
    <w:rsid w:val="39EB26A4"/>
    <w:rsid w:val="3A0D5042"/>
    <w:rsid w:val="3A7E52C6"/>
    <w:rsid w:val="3AD4349D"/>
    <w:rsid w:val="3ADB3437"/>
    <w:rsid w:val="3B1A08AC"/>
    <w:rsid w:val="3B1A26FC"/>
    <w:rsid w:val="3C432323"/>
    <w:rsid w:val="3C8977A4"/>
    <w:rsid w:val="3CA73DD4"/>
    <w:rsid w:val="3CE22C01"/>
    <w:rsid w:val="3CE463EE"/>
    <w:rsid w:val="3DB9647C"/>
    <w:rsid w:val="3DDC0289"/>
    <w:rsid w:val="3E9E7CE5"/>
    <w:rsid w:val="3F911F87"/>
    <w:rsid w:val="40107F45"/>
    <w:rsid w:val="405E66F9"/>
    <w:rsid w:val="40DC2D46"/>
    <w:rsid w:val="40F26BD1"/>
    <w:rsid w:val="412344D1"/>
    <w:rsid w:val="421C3FB6"/>
    <w:rsid w:val="425A03C6"/>
    <w:rsid w:val="42C76996"/>
    <w:rsid w:val="4340181D"/>
    <w:rsid w:val="435218EE"/>
    <w:rsid w:val="446A2746"/>
    <w:rsid w:val="44AA4C75"/>
    <w:rsid w:val="44B16B90"/>
    <w:rsid w:val="451A5327"/>
    <w:rsid w:val="45AD4CB1"/>
    <w:rsid w:val="46060DB7"/>
    <w:rsid w:val="4610442C"/>
    <w:rsid w:val="463C6086"/>
    <w:rsid w:val="469A5235"/>
    <w:rsid w:val="46A019D5"/>
    <w:rsid w:val="46D63D94"/>
    <w:rsid w:val="46EA4B2E"/>
    <w:rsid w:val="46F0384D"/>
    <w:rsid w:val="47F01CBA"/>
    <w:rsid w:val="47F153E0"/>
    <w:rsid w:val="48327F01"/>
    <w:rsid w:val="48531B40"/>
    <w:rsid w:val="48653621"/>
    <w:rsid w:val="48AA0E8D"/>
    <w:rsid w:val="49046F7C"/>
    <w:rsid w:val="490F582F"/>
    <w:rsid w:val="4952561F"/>
    <w:rsid w:val="49896CF3"/>
    <w:rsid w:val="499F52CF"/>
    <w:rsid w:val="4A161077"/>
    <w:rsid w:val="4ADA4E63"/>
    <w:rsid w:val="4B0337D0"/>
    <w:rsid w:val="4B4C5E55"/>
    <w:rsid w:val="4B8E6E1B"/>
    <w:rsid w:val="4BB71ECD"/>
    <w:rsid w:val="4BC26F3C"/>
    <w:rsid w:val="4BC475B5"/>
    <w:rsid w:val="4C1531E0"/>
    <w:rsid w:val="4C35155C"/>
    <w:rsid w:val="4C717C96"/>
    <w:rsid w:val="4C90263D"/>
    <w:rsid w:val="4C960C6B"/>
    <w:rsid w:val="4CAC4D43"/>
    <w:rsid w:val="4CCF3744"/>
    <w:rsid w:val="4D0F0700"/>
    <w:rsid w:val="4D1C37CF"/>
    <w:rsid w:val="4D5679DC"/>
    <w:rsid w:val="4D780179"/>
    <w:rsid w:val="4DD73432"/>
    <w:rsid w:val="4DD9280C"/>
    <w:rsid w:val="4E183A7E"/>
    <w:rsid w:val="4F244236"/>
    <w:rsid w:val="4F731DAE"/>
    <w:rsid w:val="4F7D7A12"/>
    <w:rsid w:val="4FD80B7D"/>
    <w:rsid w:val="51436C11"/>
    <w:rsid w:val="51613A6C"/>
    <w:rsid w:val="5180327A"/>
    <w:rsid w:val="519B5E83"/>
    <w:rsid w:val="525473B7"/>
    <w:rsid w:val="526861E8"/>
    <w:rsid w:val="529E1C09"/>
    <w:rsid w:val="52A44BCD"/>
    <w:rsid w:val="52CD3260"/>
    <w:rsid w:val="532662BB"/>
    <w:rsid w:val="5343496B"/>
    <w:rsid w:val="54106B37"/>
    <w:rsid w:val="545270A8"/>
    <w:rsid w:val="54C012B5"/>
    <w:rsid w:val="552E23A6"/>
    <w:rsid w:val="55456FC5"/>
    <w:rsid w:val="55960B79"/>
    <w:rsid w:val="55981682"/>
    <w:rsid w:val="55B72586"/>
    <w:rsid w:val="55E21FC7"/>
    <w:rsid w:val="55E54264"/>
    <w:rsid w:val="55EC35D4"/>
    <w:rsid w:val="568779AB"/>
    <w:rsid w:val="56F75D8C"/>
    <w:rsid w:val="578259EC"/>
    <w:rsid w:val="57E52089"/>
    <w:rsid w:val="581A61D6"/>
    <w:rsid w:val="58425E6E"/>
    <w:rsid w:val="58E21829"/>
    <w:rsid w:val="59267E70"/>
    <w:rsid w:val="5927111C"/>
    <w:rsid w:val="59327A8A"/>
    <w:rsid w:val="597B346A"/>
    <w:rsid w:val="598418EE"/>
    <w:rsid w:val="59944058"/>
    <w:rsid w:val="59CC3500"/>
    <w:rsid w:val="59FA62BF"/>
    <w:rsid w:val="5B0D198A"/>
    <w:rsid w:val="5B465798"/>
    <w:rsid w:val="5BB44A0F"/>
    <w:rsid w:val="5BD53981"/>
    <w:rsid w:val="5C8A3B89"/>
    <w:rsid w:val="5D25728B"/>
    <w:rsid w:val="5D2D482E"/>
    <w:rsid w:val="5D7133A0"/>
    <w:rsid w:val="5D7229EC"/>
    <w:rsid w:val="5D8A5BAC"/>
    <w:rsid w:val="5DFF1EE9"/>
    <w:rsid w:val="5E4D6A29"/>
    <w:rsid w:val="5EA276B0"/>
    <w:rsid w:val="5EB961C6"/>
    <w:rsid w:val="5ECB265D"/>
    <w:rsid w:val="5F320EFA"/>
    <w:rsid w:val="5F766BFE"/>
    <w:rsid w:val="5F8417AB"/>
    <w:rsid w:val="5F884026"/>
    <w:rsid w:val="5FB36ADE"/>
    <w:rsid w:val="600F2399"/>
    <w:rsid w:val="606316F1"/>
    <w:rsid w:val="60EA0849"/>
    <w:rsid w:val="61152F74"/>
    <w:rsid w:val="618408EC"/>
    <w:rsid w:val="62B333F3"/>
    <w:rsid w:val="62F158FB"/>
    <w:rsid w:val="63025BE8"/>
    <w:rsid w:val="63213186"/>
    <w:rsid w:val="636D44E0"/>
    <w:rsid w:val="637157A6"/>
    <w:rsid w:val="638617BF"/>
    <w:rsid w:val="63D678E5"/>
    <w:rsid w:val="643D7E05"/>
    <w:rsid w:val="6478146A"/>
    <w:rsid w:val="64F4793D"/>
    <w:rsid w:val="653463FD"/>
    <w:rsid w:val="66CB4B3F"/>
    <w:rsid w:val="677A0E7C"/>
    <w:rsid w:val="67820B45"/>
    <w:rsid w:val="67F539CF"/>
    <w:rsid w:val="684F2DC7"/>
    <w:rsid w:val="6884793A"/>
    <w:rsid w:val="68E1689C"/>
    <w:rsid w:val="69862E29"/>
    <w:rsid w:val="698B7323"/>
    <w:rsid w:val="698E07D2"/>
    <w:rsid w:val="69C328FF"/>
    <w:rsid w:val="6A304FBD"/>
    <w:rsid w:val="6A815C41"/>
    <w:rsid w:val="6AA82A7F"/>
    <w:rsid w:val="6AF30805"/>
    <w:rsid w:val="6B1D7779"/>
    <w:rsid w:val="6BBD0EFB"/>
    <w:rsid w:val="6BC71DE1"/>
    <w:rsid w:val="6BD6512D"/>
    <w:rsid w:val="6BDD37F1"/>
    <w:rsid w:val="6BF31AE0"/>
    <w:rsid w:val="6C1D3545"/>
    <w:rsid w:val="6C6D2921"/>
    <w:rsid w:val="6CF52916"/>
    <w:rsid w:val="6D107750"/>
    <w:rsid w:val="6D897A64"/>
    <w:rsid w:val="6D946650"/>
    <w:rsid w:val="6DDE1325"/>
    <w:rsid w:val="6DE96BA6"/>
    <w:rsid w:val="6EE159EF"/>
    <w:rsid w:val="6EE55869"/>
    <w:rsid w:val="6EEA254A"/>
    <w:rsid w:val="6EF632D9"/>
    <w:rsid w:val="6F5461F9"/>
    <w:rsid w:val="6F755C7D"/>
    <w:rsid w:val="6F7833FA"/>
    <w:rsid w:val="6F923E8B"/>
    <w:rsid w:val="6FAF1B3A"/>
    <w:rsid w:val="705C4D2F"/>
    <w:rsid w:val="70B2295F"/>
    <w:rsid w:val="71115D25"/>
    <w:rsid w:val="71397543"/>
    <w:rsid w:val="715F1225"/>
    <w:rsid w:val="71605245"/>
    <w:rsid w:val="728828A7"/>
    <w:rsid w:val="729801B2"/>
    <w:rsid w:val="72AA7CFF"/>
    <w:rsid w:val="72C64F6C"/>
    <w:rsid w:val="7306668A"/>
    <w:rsid w:val="73E47231"/>
    <w:rsid w:val="74116287"/>
    <w:rsid w:val="74277859"/>
    <w:rsid w:val="74534B9A"/>
    <w:rsid w:val="74611DE4"/>
    <w:rsid w:val="74827185"/>
    <w:rsid w:val="749E2A81"/>
    <w:rsid w:val="74BA06CD"/>
    <w:rsid w:val="74F05498"/>
    <w:rsid w:val="751856DC"/>
    <w:rsid w:val="765B7C8E"/>
    <w:rsid w:val="769F2D7E"/>
    <w:rsid w:val="76A333E3"/>
    <w:rsid w:val="76AF436C"/>
    <w:rsid w:val="76EE0714"/>
    <w:rsid w:val="76FA1255"/>
    <w:rsid w:val="779523AB"/>
    <w:rsid w:val="77D335C1"/>
    <w:rsid w:val="78675530"/>
    <w:rsid w:val="7879264D"/>
    <w:rsid w:val="78B07F75"/>
    <w:rsid w:val="78E25162"/>
    <w:rsid w:val="792A1B99"/>
    <w:rsid w:val="796532E5"/>
    <w:rsid w:val="797F3C93"/>
    <w:rsid w:val="79DC2E94"/>
    <w:rsid w:val="7A132309"/>
    <w:rsid w:val="7A173A4F"/>
    <w:rsid w:val="7A435D29"/>
    <w:rsid w:val="7AC178E1"/>
    <w:rsid w:val="7ADA4C98"/>
    <w:rsid w:val="7B0D24E1"/>
    <w:rsid w:val="7B6F1B1E"/>
    <w:rsid w:val="7BAB6FC2"/>
    <w:rsid w:val="7BCC6F38"/>
    <w:rsid w:val="7BE52F66"/>
    <w:rsid w:val="7C75312C"/>
    <w:rsid w:val="7C831CEC"/>
    <w:rsid w:val="7D060228"/>
    <w:rsid w:val="7D1862F1"/>
    <w:rsid w:val="7D372C8E"/>
    <w:rsid w:val="7D7B6E68"/>
    <w:rsid w:val="7D7F24B4"/>
    <w:rsid w:val="7DB4614B"/>
    <w:rsid w:val="7DF52776"/>
    <w:rsid w:val="7E440ABE"/>
    <w:rsid w:val="7E4D2EF3"/>
    <w:rsid w:val="7E8A7AA1"/>
    <w:rsid w:val="7E9975A5"/>
    <w:rsid w:val="7F0D0A7F"/>
    <w:rsid w:val="7F611FA5"/>
    <w:rsid w:val="7FA04963"/>
    <w:rsid w:val="7FB57679"/>
    <w:rsid w:val="7FDA3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nhideWhenUsed="0" w:uiPriority="1"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basedOn w:val="2"/>
    <w:next w:val="1"/>
    <w:link w:val="46"/>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sz w:val="24"/>
    </w:rPr>
  </w:style>
  <w:style w:type="paragraph" w:styleId="4">
    <w:name w:val="heading 3"/>
    <w:next w:val="1"/>
    <w:link w:val="43"/>
    <w:qFormat/>
    <w:uiPriority w:val="9"/>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qFormat/>
    <w:uiPriority w:val="1"/>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qFormat/>
    <w:uiPriority w:val="1"/>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99"/>
    <w:pPr>
      <w:ind w:left="420" w:leftChars="200"/>
    </w:pPr>
  </w:style>
  <w:style w:type="paragraph" w:styleId="12">
    <w:name w:val="Document Map"/>
    <w:basedOn w:val="1"/>
    <w:link w:val="48"/>
    <w:qFormat/>
    <w:uiPriority w:val="0"/>
    <w:rPr>
      <w:rFonts w:ascii="宋体" w:eastAsia="宋体"/>
      <w:sz w:val="18"/>
      <w:szCs w:val="18"/>
    </w:rPr>
  </w:style>
  <w:style w:type="paragraph" w:styleId="13">
    <w:name w:val="annotation text"/>
    <w:basedOn w:val="1"/>
    <w:qFormat/>
    <w:uiPriority w:val="0"/>
    <w:pPr>
      <w:jc w:val="left"/>
    </w:pPr>
  </w:style>
  <w:style w:type="paragraph" w:styleId="14">
    <w:name w:val="Body Text 3"/>
    <w:basedOn w:val="1"/>
    <w:qFormat/>
    <w:uiPriority w:val="99"/>
    <w:pPr>
      <w:tabs>
        <w:tab w:val="left" w:pos="1624"/>
      </w:tabs>
      <w:autoSpaceDE w:val="0"/>
      <w:autoSpaceDN w:val="0"/>
      <w:adjustRightInd w:val="0"/>
      <w:spacing w:line="400" w:lineRule="exact"/>
    </w:pPr>
    <w:rPr>
      <w:rFonts w:ascii="Calibri" w:hAnsi="Calibri" w:eastAsia="宋体" w:cs="Times New Roman"/>
      <w:color w:val="000000"/>
      <w:kern w:val="0"/>
      <w:sz w:val="20"/>
    </w:rPr>
  </w:style>
  <w:style w:type="paragraph" w:styleId="15">
    <w:name w:val="Body Text"/>
    <w:basedOn w:val="1"/>
    <w:qFormat/>
    <w:uiPriority w:val="1"/>
    <w:pPr>
      <w:widowControl w:val="0"/>
      <w:spacing w:after="120" w:afterAutospacing="0" w:line="360" w:lineRule="auto"/>
      <w:ind w:firstLine="420" w:firstLineChars="200"/>
    </w:pPr>
    <w:rPr>
      <w:rFonts w:ascii="Times New Roman" w:hAnsi="Times New Roman" w:eastAsia="宋体" w:cs="Times New Roman"/>
      <w:sz w:val="24"/>
    </w:rPr>
  </w:style>
  <w:style w:type="paragraph" w:styleId="16">
    <w:name w:val="Body Text Indent"/>
    <w:basedOn w:val="1"/>
    <w:next w:val="1"/>
    <w:qFormat/>
    <w:uiPriority w:val="0"/>
    <w:pPr>
      <w:ind w:firstLine="540"/>
    </w:pPr>
    <w:rPr>
      <w:rFonts w:ascii="宋体"/>
      <w:sz w:val="28"/>
      <w:szCs w:val="20"/>
    </w:rPr>
  </w:style>
  <w:style w:type="paragraph" w:styleId="17">
    <w:name w:val="Plain Text"/>
    <w:basedOn w:val="1"/>
    <w:qFormat/>
    <w:uiPriority w:val="0"/>
    <w:rPr>
      <w:rFonts w:ascii="宋体" w:hAnsi="Courier New"/>
    </w:rPr>
  </w:style>
  <w:style w:type="paragraph" w:styleId="18">
    <w:name w:val="Balloon Text"/>
    <w:basedOn w:val="1"/>
    <w:link w:val="89"/>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qFormat/>
    <w:uiPriority w:val="99"/>
    <w:pPr>
      <w:spacing w:beforeAutospacing="1" w:afterAutospacing="1"/>
      <w:jc w:val="left"/>
    </w:pPr>
    <w:rPr>
      <w:rFonts w:cs="Times New Roman"/>
      <w:kern w:val="0"/>
      <w:sz w:val="24"/>
    </w:rPr>
  </w:style>
  <w:style w:type="paragraph" w:styleId="24">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paragraph" w:styleId="25">
    <w:name w:val="Body Text First Indent"/>
    <w:basedOn w:val="15"/>
    <w:qFormat/>
    <w:uiPriority w:val="0"/>
    <w:pPr>
      <w:ind w:firstLine="420" w:firstLineChars="100"/>
    </w:pPr>
    <w:rPr>
      <w:rFonts w:ascii="Calibri" w:hAnsi="Calibri" w:eastAsia="宋体" w:cs="Times New Roman"/>
    </w:rPr>
  </w:style>
  <w:style w:type="paragraph" w:styleId="26">
    <w:name w:val="Body Text First Indent 2"/>
    <w:basedOn w:val="16"/>
    <w:qFormat/>
    <w:uiPriority w:val="0"/>
    <w:pPr>
      <w:spacing w:after="120"/>
      <w:ind w:left="420" w:firstLine="420"/>
    </w:pPr>
    <w:rPr>
      <w:rFonts w:ascii="Times New Roman"/>
      <w:sz w:val="21"/>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FollowedHyperlink"/>
    <w:basedOn w:val="29"/>
    <w:qFormat/>
    <w:uiPriority w:val="0"/>
    <w:rPr>
      <w:color w:val="800080"/>
      <w:u w:val="none"/>
    </w:rPr>
  </w:style>
  <w:style w:type="character" w:styleId="32">
    <w:name w:val="Emphasis"/>
    <w:basedOn w:val="29"/>
    <w:qFormat/>
    <w:uiPriority w:val="20"/>
    <w:rPr>
      <w:i/>
      <w:iCs/>
    </w:rPr>
  </w:style>
  <w:style w:type="character" w:styleId="33">
    <w:name w:val="HTML Definition"/>
    <w:basedOn w:val="29"/>
    <w:qFormat/>
    <w:uiPriority w:val="0"/>
  </w:style>
  <w:style w:type="character" w:styleId="34">
    <w:name w:val="HTML Typewriter"/>
    <w:basedOn w:val="29"/>
    <w:qFormat/>
    <w:uiPriority w:val="0"/>
    <w:rPr>
      <w:rFonts w:hint="default" w:ascii="monospace" w:hAnsi="monospace" w:eastAsia="monospace" w:cs="monospace"/>
      <w:sz w:val="20"/>
    </w:rPr>
  </w:style>
  <w:style w:type="character" w:styleId="35">
    <w:name w:val="HTML Acronym"/>
    <w:basedOn w:val="29"/>
    <w:qFormat/>
    <w:uiPriority w:val="0"/>
  </w:style>
  <w:style w:type="character" w:styleId="36">
    <w:name w:val="HTML Variable"/>
    <w:basedOn w:val="29"/>
    <w:qFormat/>
    <w:uiPriority w:val="0"/>
  </w:style>
  <w:style w:type="character" w:styleId="37">
    <w:name w:val="Hyperlink"/>
    <w:basedOn w:val="29"/>
    <w:qFormat/>
    <w:uiPriority w:val="0"/>
    <w:rPr>
      <w:color w:val="0000FF"/>
      <w:u w:val="none"/>
    </w:rPr>
  </w:style>
  <w:style w:type="character" w:styleId="38">
    <w:name w:val="HTML Code"/>
    <w:basedOn w:val="29"/>
    <w:qFormat/>
    <w:uiPriority w:val="0"/>
    <w:rPr>
      <w:rFonts w:hint="default" w:ascii="monospace" w:hAnsi="monospace" w:eastAsia="monospace" w:cs="monospace"/>
      <w:sz w:val="20"/>
    </w:rPr>
  </w:style>
  <w:style w:type="character" w:styleId="39">
    <w:name w:val="HTML Cite"/>
    <w:basedOn w:val="29"/>
    <w:qFormat/>
    <w:uiPriority w:val="0"/>
  </w:style>
  <w:style w:type="character" w:styleId="40">
    <w:name w:val="HTML Keyboard"/>
    <w:basedOn w:val="29"/>
    <w:qFormat/>
    <w:uiPriority w:val="0"/>
    <w:rPr>
      <w:rFonts w:hint="default" w:ascii="monospace" w:hAnsi="monospace" w:eastAsia="monospace" w:cs="monospace"/>
      <w:sz w:val="20"/>
    </w:rPr>
  </w:style>
  <w:style w:type="character" w:styleId="41">
    <w:name w:val="HTML Sample"/>
    <w:basedOn w:val="29"/>
    <w:qFormat/>
    <w:uiPriority w:val="0"/>
    <w:rPr>
      <w:rFonts w:ascii="monospace" w:hAnsi="monospace" w:eastAsia="monospace" w:cs="monospace"/>
    </w:rPr>
  </w:style>
  <w:style w:type="paragraph" w:customStyle="1" w:styleId="42">
    <w:name w:val="列出段落1"/>
    <w:basedOn w:val="1"/>
    <w:qFormat/>
    <w:uiPriority w:val="0"/>
    <w:pPr>
      <w:ind w:firstLine="420" w:firstLineChars="200"/>
    </w:pPr>
    <w:rPr>
      <w:rFonts w:ascii="Calibri" w:hAnsi="Calibri"/>
      <w:szCs w:val="22"/>
    </w:rPr>
  </w:style>
  <w:style w:type="character" w:customStyle="1" w:styleId="43">
    <w:name w:val="标题 3 Char"/>
    <w:basedOn w:val="29"/>
    <w:link w:val="4"/>
    <w:qFormat/>
    <w:uiPriority w:val="9"/>
    <w:rPr>
      <w:rFonts w:ascii="宋体" w:hAnsi="宋体" w:cs="宋体"/>
      <w:b/>
      <w:bCs/>
      <w:sz w:val="27"/>
      <w:szCs w:val="27"/>
    </w:rPr>
  </w:style>
  <w:style w:type="paragraph" w:customStyle="1" w:styleId="44">
    <w:name w:val="正文2"/>
    <w:basedOn w:val="1"/>
    <w:qFormat/>
    <w:uiPriority w:val="0"/>
    <w:pPr>
      <w:spacing w:before="156" w:line="360" w:lineRule="auto"/>
      <w:ind w:firstLine="510" w:firstLineChars="200"/>
    </w:pPr>
    <w:rPr>
      <w:sz w:val="24"/>
      <w:szCs w:val="20"/>
    </w:rPr>
  </w:style>
  <w:style w:type="character" w:customStyle="1" w:styleId="45">
    <w:name w:val="fontstyle01"/>
    <w:basedOn w:val="29"/>
    <w:qFormat/>
    <w:uiPriority w:val="0"/>
    <w:rPr>
      <w:rFonts w:hint="eastAsia" w:ascii="仿宋_GB2312" w:eastAsia="仿宋_GB2312"/>
      <w:color w:val="000000"/>
      <w:sz w:val="22"/>
      <w:szCs w:val="22"/>
    </w:rPr>
  </w:style>
  <w:style w:type="character" w:customStyle="1" w:styleId="46">
    <w:name w:val="标题 2 Char"/>
    <w:basedOn w:val="29"/>
    <w:link w:val="3"/>
    <w:semiHidden/>
    <w:qFormat/>
    <w:uiPriority w:val="0"/>
    <w:rPr>
      <w:rFonts w:asciiTheme="majorHAnsi" w:hAnsiTheme="majorHAnsi" w:eastAsiaTheme="majorEastAsia" w:cstheme="majorBidi"/>
      <w:b/>
      <w:bCs/>
      <w:kern w:val="2"/>
      <w:sz w:val="32"/>
      <w:szCs w:val="32"/>
    </w:rPr>
  </w:style>
  <w:style w:type="character" w:customStyle="1" w:styleId="47">
    <w:name w:val="editinput2"/>
    <w:basedOn w:val="29"/>
    <w:qFormat/>
    <w:uiPriority w:val="0"/>
  </w:style>
  <w:style w:type="character" w:customStyle="1" w:styleId="48">
    <w:name w:val="文档结构图 Char"/>
    <w:basedOn w:val="29"/>
    <w:link w:val="12"/>
    <w:qFormat/>
    <w:uiPriority w:val="0"/>
    <w:rPr>
      <w:rFonts w:ascii="宋体" w:hAnsiTheme="minorHAnsi" w:cstheme="minorBidi"/>
      <w:kern w:val="2"/>
      <w:sz w:val="18"/>
      <w:szCs w:val="18"/>
    </w:rPr>
  </w:style>
  <w:style w:type="paragraph" w:styleId="49">
    <w:name w:val="List Paragraph"/>
    <w:basedOn w:val="1"/>
    <w:qFormat/>
    <w:uiPriority w:val="99"/>
    <w:pPr>
      <w:ind w:left="1260" w:firstLine="479"/>
    </w:pPr>
  </w:style>
  <w:style w:type="paragraph" w:customStyle="1" w:styleId="50">
    <w:name w:val="Table Paragraph"/>
    <w:basedOn w:val="1"/>
    <w:qFormat/>
    <w:uiPriority w:val="1"/>
  </w:style>
  <w:style w:type="character" w:customStyle="1" w:styleId="51">
    <w:name w:val="first-child"/>
    <w:basedOn w:val="29"/>
    <w:qFormat/>
    <w:uiPriority w:val="0"/>
  </w:style>
  <w:style w:type="character" w:customStyle="1" w:styleId="52">
    <w:name w:val="layui-layer-tabnow"/>
    <w:basedOn w:val="29"/>
    <w:qFormat/>
    <w:uiPriority w:val="0"/>
    <w:rPr>
      <w:bdr w:val="single" w:color="CCCCCC" w:sz="6" w:space="0"/>
      <w:shd w:val="clear" w:color="auto" w:fill="FFFFFF"/>
    </w:rPr>
  </w:style>
  <w:style w:type="paragraph" w:customStyle="1" w:styleId="53">
    <w:name w:val="列表段落1"/>
    <w:basedOn w:val="1"/>
    <w:qFormat/>
    <w:uiPriority w:val="34"/>
    <w:pPr>
      <w:ind w:firstLine="420" w:firstLineChars="200"/>
    </w:pPr>
  </w:style>
  <w:style w:type="character" w:customStyle="1" w:styleId="54">
    <w:name w:val="prev"/>
    <w:basedOn w:val="29"/>
    <w:qFormat/>
    <w:uiPriority w:val="0"/>
    <w:rPr>
      <w:rFonts w:ascii="微软雅黑" w:hAnsi="微软雅黑" w:eastAsia="微软雅黑" w:cs="微软雅黑"/>
      <w:sz w:val="21"/>
      <w:szCs w:val="21"/>
    </w:rPr>
  </w:style>
  <w:style w:type="character" w:customStyle="1" w:styleId="55">
    <w:name w:val="prev1"/>
    <w:basedOn w:val="29"/>
    <w:qFormat/>
    <w:uiPriority w:val="0"/>
    <w:rPr>
      <w:color w:val="888888"/>
    </w:rPr>
  </w:style>
  <w:style w:type="character" w:customStyle="1" w:styleId="56">
    <w:name w:val="redfilefwwh"/>
    <w:basedOn w:val="29"/>
    <w:qFormat/>
    <w:uiPriority w:val="0"/>
    <w:rPr>
      <w:color w:val="BA2636"/>
      <w:sz w:val="18"/>
      <w:szCs w:val="18"/>
    </w:rPr>
  </w:style>
  <w:style w:type="character" w:customStyle="1" w:styleId="57">
    <w:name w:val="qxdate"/>
    <w:basedOn w:val="29"/>
    <w:qFormat/>
    <w:uiPriority w:val="0"/>
    <w:rPr>
      <w:color w:val="333333"/>
      <w:sz w:val="18"/>
      <w:szCs w:val="18"/>
    </w:rPr>
  </w:style>
  <w:style w:type="character" w:customStyle="1" w:styleId="58">
    <w:name w:val="redfilenumber"/>
    <w:basedOn w:val="29"/>
    <w:qFormat/>
    <w:uiPriority w:val="0"/>
    <w:rPr>
      <w:color w:val="BA2636"/>
      <w:sz w:val="18"/>
      <w:szCs w:val="18"/>
    </w:rPr>
  </w:style>
  <w:style w:type="character" w:customStyle="1" w:styleId="59">
    <w:name w:val="displayarti"/>
    <w:basedOn w:val="29"/>
    <w:qFormat/>
    <w:uiPriority w:val="0"/>
    <w:rPr>
      <w:color w:val="FFFFFF"/>
      <w:shd w:val="clear" w:color="auto" w:fill="A00000"/>
    </w:rPr>
  </w:style>
  <w:style w:type="character" w:customStyle="1" w:styleId="60">
    <w:name w:val="next"/>
    <w:basedOn w:val="29"/>
    <w:qFormat/>
    <w:uiPriority w:val="0"/>
    <w:rPr>
      <w:rFonts w:hint="eastAsia" w:ascii="微软雅黑" w:hAnsi="微软雅黑" w:eastAsia="微软雅黑" w:cs="微软雅黑"/>
      <w:sz w:val="21"/>
      <w:szCs w:val="21"/>
    </w:rPr>
  </w:style>
  <w:style w:type="character" w:customStyle="1" w:styleId="61">
    <w:name w:val="next1"/>
    <w:basedOn w:val="29"/>
    <w:qFormat/>
    <w:uiPriority w:val="0"/>
    <w:rPr>
      <w:color w:val="888888"/>
    </w:rPr>
  </w:style>
  <w:style w:type="character" w:customStyle="1" w:styleId="62">
    <w:name w:val="cfdate"/>
    <w:basedOn w:val="29"/>
    <w:qFormat/>
    <w:uiPriority w:val="0"/>
    <w:rPr>
      <w:color w:val="333333"/>
      <w:sz w:val="18"/>
      <w:szCs w:val="18"/>
    </w:rPr>
  </w:style>
  <w:style w:type="character" w:customStyle="1" w:styleId="63">
    <w:name w:val="gjfg"/>
    <w:basedOn w:val="29"/>
    <w:qFormat/>
    <w:uiPriority w:val="0"/>
  </w:style>
  <w:style w:type="character" w:customStyle="1" w:styleId="64">
    <w:name w:val="index-module_large_1mscr1"/>
    <w:basedOn w:val="29"/>
    <w:qFormat/>
    <w:uiPriority w:val="0"/>
  </w:style>
  <w:style w:type="paragraph" w:customStyle="1" w:styleId="65">
    <w:name w:val="Heading2"/>
    <w:basedOn w:val="1"/>
    <w:next w:val="1"/>
    <w:qFormat/>
    <w:uiPriority w:val="0"/>
    <w:pPr>
      <w:keepNext/>
      <w:keepLines/>
      <w:spacing w:before="260" w:after="260" w:line="413" w:lineRule="auto"/>
      <w:textAlignment w:val="baseline"/>
    </w:pPr>
    <w:rPr>
      <w:rFonts w:ascii="Arial" w:hAnsi="Arial" w:eastAsia="黑体"/>
      <w:b/>
      <w:kern w:val="0"/>
      <w:sz w:val="32"/>
      <w:szCs w:val="20"/>
    </w:rPr>
  </w:style>
  <w:style w:type="character" w:customStyle="1" w:styleId="66">
    <w:name w:val="fontborder"/>
    <w:basedOn w:val="29"/>
    <w:qFormat/>
    <w:uiPriority w:val="0"/>
    <w:rPr>
      <w:bdr w:val="single" w:color="000000" w:sz="6" w:space="0"/>
    </w:rPr>
  </w:style>
  <w:style w:type="character" w:customStyle="1" w:styleId="67">
    <w:name w:val="fontstrikethrough"/>
    <w:basedOn w:val="29"/>
    <w:qFormat/>
    <w:uiPriority w:val="0"/>
    <w:rPr>
      <w:strike/>
    </w:rPr>
  </w:style>
  <w:style w:type="character" w:customStyle="1" w:styleId="68">
    <w:name w:val="first-child9"/>
    <w:basedOn w:val="29"/>
    <w:qFormat/>
    <w:uiPriority w:val="0"/>
  </w:style>
  <w:style w:type="character" w:customStyle="1" w:styleId="69">
    <w:name w:val="layui-this"/>
    <w:basedOn w:val="29"/>
    <w:qFormat/>
    <w:uiPriority w:val="0"/>
    <w:rPr>
      <w:bdr w:val="single" w:color="EEEEEE" w:sz="6" w:space="0"/>
      <w:shd w:val="clear" w:color="auto" w:fill="FFFFFF"/>
    </w:rPr>
  </w:style>
  <w:style w:type="character" w:customStyle="1" w:styleId="70">
    <w:name w:val="hover56"/>
    <w:basedOn w:val="29"/>
    <w:qFormat/>
    <w:uiPriority w:val="0"/>
    <w:rPr>
      <w:color w:val="FFFFFF"/>
    </w:rPr>
  </w:style>
  <w:style w:type="character" w:customStyle="1" w:styleId="71">
    <w:name w:val="hover57"/>
    <w:basedOn w:val="29"/>
    <w:qFormat/>
    <w:uiPriority w:val="0"/>
    <w:rPr>
      <w:color w:val="FFFFFF"/>
      <w:shd w:val="clear" w:color="auto" w:fill="FF0000"/>
    </w:rPr>
  </w:style>
  <w:style w:type="character" w:customStyle="1" w:styleId="72">
    <w:name w:val="c_span2"/>
    <w:basedOn w:val="29"/>
    <w:qFormat/>
    <w:uiPriority w:val="0"/>
  </w:style>
  <w:style w:type="character" w:customStyle="1" w:styleId="73">
    <w:name w:val="time8"/>
    <w:basedOn w:val="29"/>
    <w:qFormat/>
    <w:uiPriority w:val="0"/>
  </w:style>
  <w:style w:type="character" w:customStyle="1" w:styleId="74">
    <w:name w:val="hover27"/>
    <w:basedOn w:val="29"/>
    <w:qFormat/>
    <w:uiPriority w:val="0"/>
  </w:style>
  <w:style w:type="character" w:customStyle="1" w:styleId="75">
    <w:name w:val="hover28"/>
    <w:basedOn w:val="29"/>
    <w:qFormat/>
    <w:uiPriority w:val="0"/>
    <w:rPr>
      <w:color w:val="315EFB"/>
    </w:rPr>
  </w:style>
  <w:style w:type="character" w:customStyle="1" w:styleId="76">
    <w:name w:val="c-icon32"/>
    <w:basedOn w:val="29"/>
    <w:qFormat/>
    <w:uiPriority w:val="0"/>
  </w:style>
  <w:style w:type="character" w:customStyle="1" w:styleId="77">
    <w:name w:val="c-icon30"/>
    <w:basedOn w:val="29"/>
    <w:qFormat/>
    <w:uiPriority w:val="0"/>
  </w:style>
  <w:style w:type="character" w:customStyle="1" w:styleId="78">
    <w:name w:val="hover25"/>
    <w:basedOn w:val="29"/>
    <w:qFormat/>
    <w:uiPriority w:val="0"/>
    <w:rPr>
      <w:color w:val="315EFB"/>
    </w:rPr>
  </w:style>
  <w:style w:type="character" w:customStyle="1" w:styleId="79">
    <w:name w:val="hover26"/>
    <w:basedOn w:val="29"/>
    <w:qFormat/>
    <w:uiPriority w:val="0"/>
  </w:style>
  <w:style w:type="character" w:customStyle="1" w:styleId="80">
    <w:name w:val="content-right_8zs401"/>
    <w:basedOn w:val="29"/>
    <w:qFormat/>
    <w:uiPriority w:val="0"/>
  </w:style>
  <w:style w:type="character" w:customStyle="1" w:styleId="81">
    <w:name w:val="hover"/>
    <w:basedOn w:val="29"/>
    <w:qFormat/>
    <w:uiPriority w:val="0"/>
  </w:style>
  <w:style w:type="character" w:customStyle="1" w:styleId="82">
    <w:name w:val="hover1"/>
    <w:basedOn w:val="29"/>
    <w:qFormat/>
    <w:uiPriority w:val="0"/>
    <w:rPr>
      <w:color w:val="315EFB"/>
    </w:rPr>
  </w:style>
  <w:style w:type="character" w:customStyle="1" w:styleId="83">
    <w:name w:val="c-icon"/>
    <w:basedOn w:val="29"/>
    <w:qFormat/>
    <w:uiPriority w:val="0"/>
  </w:style>
  <w:style w:type="paragraph" w:customStyle="1" w:styleId="84">
    <w:name w:val="mt2"/>
    <w:basedOn w:val="1"/>
    <w:qFormat/>
    <w:uiPriority w:val="0"/>
    <w:pPr>
      <w:spacing w:before="300"/>
      <w:jc w:val="left"/>
    </w:pPr>
    <w:rPr>
      <w:rFonts w:cs="Times New Roman"/>
      <w:kern w:val="0"/>
    </w:rPr>
  </w:style>
  <w:style w:type="character" w:customStyle="1" w:styleId="85">
    <w:name w:val="bg"/>
    <w:basedOn w:val="29"/>
    <w:qFormat/>
    <w:uiPriority w:val="0"/>
  </w:style>
  <w:style w:type="character" w:customStyle="1" w:styleId="86">
    <w:name w:val="mt21"/>
    <w:basedOn w:val="29"/>
    <w:qFormat/>
    <w:uiPriority w:val="0"/>
  </w:style>
  <w:style w:type="character" w:customStyle="1" w:styleId="87">
    <w:name w:val="hover3"/>
    <w:basedOn w:val="29"/>
    <w:qFormat/>
    <w:uiPriority w:val="0"/>
    <w:rPr>
      <w:color w:val="315EFB"/>
    </w:rPr>
  </w:style>
  <w:style w:type="character" w:customStyle="1" w:styleId="88">
    <w:name w:val="index-module_accountauthentication_3bwix"/>
    <w:basedOn w:val="29"/>
    <w:qFormat/>
    <w:uiPriority w:val="0"/>
  </w:style>
  <w:style w:type="character" w:customStyle="1" w:styleId="89">
    <w:name w:val="批注框文本 Char"/>
    <w:basedOn w:val="29"/>
    <w:link w:val="18"/>
    <w:qFormat/>
    <w:uiPriority w:val="0"/>
    <w:rPr>
      <w:rFonts w:asciiTheme="minorHAnsi" w:hAnsiTheme="minorHAnsi" w:eastAsiaTheme="minorEastAsia" w:cstheme="minorBidi"/>
      <w:kern w:val="2"/>
      <w:sz w:val="18"/>
      <w:szCs w:val="18"/>
    </w:rPr>
  </w:style>
  <w:style w:type="paragraph" w:customStyle="1" w:styleId="90">
    <w:name w:val="ql-align-center"/>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1">
    <w:name w:val="ql-align-justify"/>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2">
    <w:name w:val="ql-align-right"/>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3">
    <w:name w:val="Table Text"/>
    <w:basedOn w:val="1"/>
    <w:semiHidden/>
    <w:qFormat/>
    <w:uiPriority w:val="0"/>
    <w:rPr>
      <w:rFonts w:ascii="仿宋" w:hAnsi="仿宋" w:eastAsia="仿宋" w:cs="仿宋"/>
      <w:sz w:val="24"/>
      <w:szCs w:val="24"/>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采购需求样式"/>
    <w:qFormat/>
    <w:uiPriority w:val="0"/>
    <w:pPr>
      <w:spacing w:before="47" w:line="222" w:lineRule="auto"/>
      <w:ind w:firstLine="562" w:firstLineChars="200"/>
      <w:outlineLvl w:val="1"/>
    </w:pPr>
    <w:rPr>
      <w:rFonts w:hint="eastAsia" w:ascii="宋体" w:hAnsi="宋体" w:eastAsia="宋体" w:cs="Times New Roman"/>
      <w:b/>
      <w:color w:val="000000"/>
      <w:sz w:val="28"/>
      <w:szCs w:val="28"/>
    </w:rPr>
  </w:style>
  <w:style w:type="character" w:customStyle="1" w:styleId="96">
    <w:name w:val="font61"/>
    <w:basedOn w:val="29"/>
    <w:qFormat/>
    <w:uiPriority w:val="0"/>
    <w:rPr>
      <w:rFonts w:hint="eastAsia" w:ascii="宋体" w:hAnsi="宋体" w:eastAsia="宋体" w:cs="宋体"/>
      <w:color w:val="000000"/>
      <w:sz w:val="22"/>
      <w:szCs w:val="22"/>
      <w:u w:val="none"/>
    </w:rPr>
  </w:style>
  <w:style w:type="character" w:customStyle="1" w:styleId="97">
    <w:name w:val="font51"/>
    <w:basedOn w:val="29"/>
    <w:qFormat/>
    <w:uiPriority w:val="0"/>
    <w:rPr>
      <w:rFonts w:hint="eastAsia" w:ascii="宋体" w:hAnsi="宋体" w:eastAsia="宋体" w:cs="宋体"/>
      <w:color w:val="000000"/>
      <w:sz w:val="22"/>
      <w:szCs w:val="22"/>
      <w:u w:val="none"/>
    </w:rPr>
  </w:style>
  <w:style w:type="paragraph" w:customStyle="1" w:styleId="98">
    <w:name w:val="无间隔1"/>
    <w:qFormat/>
    <w:uiPriority w:val="0"/>
    <w:pPr>
      <w:widowControl w:val="0"/>
      <w:jc w:val="both"/>
    </w:pPr>
    <w:rPr>
      <w:rFonts w:ascii="Times New Roman" w:hAnsi="Times New Roman" w:eastAsia="宋体" w:cs="Times New Roman"/>
      <w:kern w:val="2"/>
      <w:sz w:val="24"/>
      <w:szCs w:val="22"/>
      <w:lang w:val="en-US" w:eastAsia="zh-CN" w:bidi="ar-SA"/>
    </w:rPr>
  </w:style>
  <w:style w:type="character" w:customStyle="1" w:styleId="99">
    <w:name w:val="font31"/>
    <w:basedOn w:val="2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727C3-5A2E-42D5-AE98-4CC37E161FF8}">
  <ds:schemaRefs/>
</ds:datastoreItem>
</file>

<file path=docProps/app.xml><?xml version="1.0" encoding="utf-8"?>
<Properties xmlns="http://schemas.openxmlformats.org/officeDocument/2006/extended-properties" xmlns:vt="http://schemas.openxmlformats.org/officeDocument/2006/docPropsVTypes">
  <Template>Normal</Template>
  <Pages>7</Pages>
  <Words>91</Words>
  <Characters>91</Characters>
  <Lines>111</Lines>
  <Paragraphs>31</Paragraphs>
  <TotalTime>13</TotalTime>
  <ScaleCrop>false</ScaleCrop>
  <LinksUpToDate>false</LinksUpToDate>
  <CharactersWithSpaces>132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2022-06-07T08:30:00Z</dcterms:created>
  <dc:creator>Administrator</dc:creator>
  <cp:lastModifiedBy>木槿柒柒</cp:lastModifiedBy>
  <cp:lastPrinted>2021-10-28T05:46:00Z</cp:lastPrinted>
  <dcterms:modified xsi:type="dcterms:W3CDTF">2026-07-09T01:21:11Z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34DDAC3BB016438A978E209FF971895C_13</vt:lpwstr>
  </property>
  <property fmtid="{D5CDD505-2E9C-101B-9397-08002B2CF9AE}" pid="4" name="KSOTemplateDocerSaveRecord">
    <vt:lpwstr>eyJoZGlkIjoiMDU4YmE0MzJhNmYyMTcxM2YyYjRmZTk4NWM2ZjY3OTYiLCJ1c2VySWQiOiIzODMxODQ3OTYifQ==</vt:lpwstr>
  </property>
</Properties>
</file>