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7B7BB">
      <w:pPr>
        <w:jc w:val="center"/>
        <w:rPr>
          <w:rFonts w:ascii="微软雅黑" w:hAnsi="微软雅黑" w:eastAsia="微软雅黑" w:cs="微软雅黑"/>
          <w:sz w:val="44"/>
          <w:szCs w:val="44"/>
        </w:rPr>
      </w:pPr>
      <w:bookmarkStart w:id="3" w:name="_GoBack"/>
      <w:r>
        <w:rPr>
          <w:rFonts w:hint="eastAsia" w:ascii="微软雅黑" w:hAnsi="微软雅黑" w:eastAsia="微软雅黑" w:cs="微软雅黑"/>
          <w:b/>
          <w:bCs/>
          <w:spacing w:val="-2"/>
          <w:sz w:val="44"/>
          <w:szCs w:val="44"/>
        </w:rPr>
        <w:t>交换机及配件采购</w:t>
      </w:r>
      <w:r>
        <w:rPr>
          <w:rFonts w:hint="eastAsia" w:ascii="微软雅黑" w:hAnsi="微软雅黑" w:eastAsia="微软雅黑" w:cs="微软雅黑"/>
          <w:b/>
          <w:bCs/>
          <w:sz w:val="44"/>
          <w:szCs w:val="44"/>
        </w:rPr>
        <w:t>需求</w:t>
      </w:r>
    </w:p>
    <w:bookmarkEnd w:id="3"/>
    <w:p w14:paraId="463A8FD3">
      <w:pPr>
        <w:pStyle w:val="88"/>
        <w:ind w:left="416" w:leftChars="198" w:firstLine="644" w:firstLineChars="229"/>
        <w:rPr>
          <w:rFonts w:hint="default"/>
          <w:bCs/>
        </w:rPr>
      </w:pPr>
    </w:p>
    <w:p w14:paraId="55874013">
      <w:pPr>
        <w:pStyle w:val="88"/>
        <w:spacing w:before="0" w:line="240" w:lineRule="auto"/>
        <w:ind w:firstLine="0" w:firstLineChars="0"/>
        <w:jc w:val="both"/>
        <w:rPr>
          <w:rFonts w:hint="default"/>
          <w:bCs/>
        </w:rPr>
      </w:pPr>
      <w:r>
        <w:rPr>
          <w:bCs/>
        </w:rPr>
        <w:t>一、</w:t>
      </w:r>
      <w:r>
        <w:rPr>
          <w:rFonts w:ascii="黑体" w:hAnsi="黑体" w:eastAsia="黑体" w:cs="黑体"/>
          <w:bCs/>
          <w:color w:val="auto"/>
          <w:spacing w:val="-5"/>
          <w:kern w:val="2"/>
          <w:sz w:val="32"/>
          <w:szCs w:val="32"/>
        </w:rPr>
        <w:t>项目概述</w:t>
      </w:r>
    </w:p>
    <w:p w14:paraId="2F161145">
      <w:pPr>
        <w:widowControl/>
        <w:ind w:left="840" w:leftChars="400"/>
        <w:jc w:val="left"/>
        <w:rPr>
          <w:sz w:val="28"/>
          <w:szCs w:val="28"/>
        </w:rPr>
      </w:pPr>
      <w:r>
        <w:rPr>
          <w:rFonts w:hint="eastAsia"/>
          <w:sz w:val="28"/>
          <w:szCs w:val="28"/>
        </w:rPr>
        <w:t>项目名称：</w:t>
      </w:r>
      <w:r>
        <w:rPr>
          <w:sz w:val="28"/>
          <w:szCs w:val="28"/>
        </w:rPr>
        <w:t> </w:t>
      </w:r>
      <w:r>
        <w:rPr>
          <w:rFonts w:hint="eastAsia"/>
          <w:sz w:val="28"/>
          <w:szCs w:val="28"/>
        </w:rPr>
        <w:t>交换机及配件采购</w:t>
      </w:r>
    </w:p>
    <w:p w14:paraId="12EE6C2B">
      <w:pPr>
        <w:tabs>
          <w:tab w:val="left" w:pos="1045"/>
        </w:tabs>
        <w:ind w:firstLine="840" w:firstLineChars="300"/>
        <w:rPr>
          <w:rFonts w:hint="eastAsia" w:eastAsiaTheme="minorEastAsia"/>
          <w:sz w:val="28"/>
          <w:szCs w:val="28"/>
          <w:lang w:eastAsia="zh-CN"/>
        </w:rPr>
      </w:pPr>
      <w:r>
        <w:rPr>
          <w:rFonts w:hint="eastAsia" w:ascii="宋体" w:hAnsi="宋体" w:eastAsia="宋体" w:cs="Times New Roman"/>
          <w:bCs/>
          <w:color w:val="000000"/>
          <w:kern w:val="0"/>
          <w:sz w:val="28"/>
          <w:szCs w:val="28"/>
          <w:lang w:val="en-US" w:eastAsia="zh-CN"/>
        </w:rPr>
        <w:t>项目内容</w:t>
      </w:r>
      <w:r>
        <w:rPr>
          <w:rFonts w:hint="eastAsia" w:ascii="宋体" w:hAnsi="宋体" w:eastAsia="宋体" w:cs="Times New Roman"/>
          <w:bCs/>
          <w:color w:val="000000"/>
          <w:kern w:val="0"/>
          <w:sz w:val="28"/>
          <w:szCs w:val="28"/>
        </w:rPr>
        <w:t>：</w:t>
      </w:r>
      <w:r>
        <w:rPr>
          <w:rFonts w:hint="eastAsia"/>
          <w:sz w:val="28"/>
          <w:szCs w:val="28"/>
        </w:rPr>
        <w:t>确保医院网络正常运行，优化目前网络结构，保障医疗网络稳定与医院正常运营。针对目前</w:t>
      </w:r>
      <w:r>
        <w:rPr>
          <w:rFonts w:hint="eastAsia"/>
          <w:sz w:val="28"/>
        </w:rPr>
        <w:t>北院汇聚交换机端口数量不足，增加现有汇聚交换机板卡，部分交换机由于设备老旧需要替换，新增部分交换机采购</w:t>
      </w:r>
      <w:r>
        <w:rPr>
          <w:rFonts w:hint="eastAsia"/>
          <w:sz w:val="28"/>
          <w:lang w:eastAsia="zh-CN"/>
        </w:rPr>
        <w:t>。</w:t>
      </w:r>
    </w:p>
    <w:p w14:paraId="6858FB37">
      <w:pPr>
        <w:widowControl/>
        <w:ind w:left="840" w:leftChars="400"/>
        <w:jc w:val="left"/>
        <w:rPr>
          <w:sz w:val="28"/>
          <w:szCs w:val="28"/>
        </w:rPr>
      </w:pPr>
      <w:r>
        <w:rPr>
          <w:rFonts w:hint="eastAsia" w:ascii="宋体" w:hAnsi="宋体" w:eastAsia="宋体" w:cs="Times New Roman"/>
          <w:bCs/>
          <w:color w:val="000000"/>
          <w:kern w:val="0"/>
          <w:sz w:val="28"/>
          <w:szCs w:val="28"/>
          <w:lang w:val="en-US" w:eastAsia="zh-CN"/>
        </w:rPr>
        <w:t>项目地点</w:t>
      </w:r>
      <w:r>
        <w:rPr>
          <w:rFonts w:hint="eastAsia" w:ascii="宋体" w:hAnsi="宋体" w:eastAsia="宋体" w:cs="Times New Roman"/>
          <w:bCs/>
          <w:color w:val="000000"/>
          <w:kern w:val="0"/>
          <w:sz w:val="28"/>
          <w:szCs w:val="28"/>
        </w:rPr>
        <w:t>：</w:t>
      </w:r>
      <w:r>
        <w:rPr>
          <w:rFonts w:ascii="Segoe UI" w:hAnsi="Segoe UI" w:eastAsia="Segoe UI" w:cs="Segoe UI"/>
          <w:color w:val="404040"/>
          <w:sz w:val="24"/>
          <w:shd w:val="clear" w:color="auto" w:fill="FFFFFF"/>
        </w:rPr>
        <w:t> </w:t>
      </w:r>
      <w:r>
        <w:rPr>
          <w:rFonts w:hint="eastAsia" w:eastAsia="宋体"/>
          <w:sz w:val="28"/>
          <w:szCs w:val="28"/>
          <w:lang w:val="en-US" w:eastAsia="zh-CN"/>
        </w:rPr>
        <w:t>上饶市人民医院</w:t>
      </w:r>
      <w:r>
        <w:rPr>
          <w:sz w:val="28"/>
          <w:szCs w:val="28"/>
        </w:rPr>
        <w:t>。</w:t>
      </w:r>
      <w:r>
        <w:rPr>
          <w:rFonts w:hint="eastAsia"/>
          <w:sz w:val="28"/>
          <w:szCs w:val="28"/>
        </w:rPr>
        <w:t xml:space="preserve">       </w:t>
      </w:r>
    </w:p>
    <w:p w14:paraId="55662033">
      <w:pPr>
        <w:ind w:firstLine="840" w:firstLineChars="300"/>
        <w:rPr>
          <w:sz w:val="28"/>
          <w:szCs w:val="28"/>
        </w:rPr>
      </w:pPr>
      <w:r>
        <w:rPr>
          <w:rFonts w:hint="eastAsia" w:ascii="宋体" w:hAnsi="宋体" w:eastAsia="宋体" w:cs="Times New Roman"/>
          <w:bCs/>
          <w:color w:val="000000"/>
          <w:kern w:val="0"/>
          <w:sz w:val="28"/>
          <w:szCs w:val="28"/>
          <w:lang w:val="en-US" w:eastAsia="zh-CN"/>
        </w:rPr>
        <w:t>售后服务期限</w:t>
      </w:r>
      <w:r>
        <w:rPr>
          <w:rFonts w:hint="eastAsia" w:ascii="宋体" w:hAnsi="宋体" w:eastAsia="宋体" w:cs="Times New Roman"/>
          <w:bCs/>
          <w:color w:val="000000"/>
          <w:kern w:val="0"/>
          <w:sz w:val="28"/>
          <w:szCs w:val="28"/>
        </w:rPr>
        <w:t xml:space="preserve">：3年   </w:t>
      </w:r>
      <w:r>
        <w:rPr>
          <w:rFonts w:hint="eastAsia"/>
          <w:sz w:val="28"/>
          <w:szCs w:val="28"/>
        </w:rPr>
        <w:t xml:space="preserve">      </w:t>
      </w:r>
    </w:p>
    <w:p w14:paraId="720411BF">
      <w:pPr>
        <w:rPr>
          <w:rFonts w:ascii="宋体" w:hAnsi="宋体" w:eastAsia="宋体" w:cs="Times New Roman"/>
          <w:b/>
          <w:bCs/>
          <w:color w:val="000000"/>
          <w:kern w:val="0"/>
          <w:sz w:val="28"/>
          <w:szCs w:val="28"/>
        </w:rPr>
      </w:pPr>
      <w:r>
        <w:rPr>
          <w:rFonts w:hint="eastAsia" w:ascii="宋体" w:hAnsi="宋体" w:eastAsia="宋体" w:cs="Times New Roman"/>
          <w:b/>
          <w:bCs/>
          <w:color w:val="000000"/>
          <w:kern w:val="0"/>
          <w:sz w:val="28"/>
          <w:szCs w:val="28"/>
        </w:rPr>
        <w:t xml:space="preserve">二、货物名称及参数  </w:t>
      </w:r>
    </w:p>
    <w:p w14:paraId="17D26B91">
      <w:pPr>
        <w:pStyle w:val="18"/>
        <w:widowControl/>
        <w:numPr>
          <w:ilvl w:val="0"/>
          <w:numId w:val="1"/>
        </w:numPr>
        <w:wordWrap w:val="0"/>
        <w:rPr>
          <w:rFonts w:hint="default" w:asciiTheme="minorHAnsi" w:hAnsiTheme="minorHAnsi" w:eastAsiaTheme="minorEastAsia" w:cstheme="minorBidi"/>
          <w:b/>
          <w:bCs/>
          <w:kern w:val="2"/>
          <w:sz w:val="28"/>
          <w:szCs w:val="28"/>
        </w:rPr>
      </w:pPr>
      <w:r>
        <w:rPr>
          <w:rFonts w:asciiTheme="minorHAnsi" w:hAnsiTheme="minorHAnsi" w:eastAsiaTheme="minorEastAsia" w:cstheme="minorBidi"/>
          <w:b/>
          <w:bCs/>
          <w:kern w:val="2"/>
          <w:sz w:val="28"/>
          <w:szCs w:val="28"/>
        </w:rPr>
        <w:t>24口接入交换机</w:t>
      </w:r>
      <w:r>
        <w:rPr>
          <w:rFonts w:hint="eastAsia" w:asciiTheme="minorHAnsi" w:hAnsiTheme="minorHAnsi" w:eastAsiaTheme="minorEastAsia" w:cstheme="minorBidi"/>
          <w:b/>
          <w:bCs/>
          <w:kern w:val="2"/>
          <w:sz w:val="28"/>
          <w:szCs w:val="28"/>
          <w:lang w:eastAsia="zh-CN"/>
        </w:rPr>
        <w:t>：</w:t>
      </w:r>
      <w:r>
        <w:rPr>
          <w:rFonts w:asciiTheme="minorHAnsi" w:hAnsiTheme="minorHAnsi" w:eastAsiaTheme="minorEastAsia" w:cstheme="minorBidi"/>
          <w:b/>
          <w:bCs/>
          <w:kern w:val="2"/>
          <w:sz w:val="28"/>
          <w:szCs w:val="28"/>
        </w:rPr>
        <w:t>数量1</w:t>
      </w:r>
      <w:r>
        <w:rPr>
          <w:rFonts w:hint="default" w:asciiTheme="minorHAnsi" w:hAnsiTheme="minorHAnsi" w:eastAsiaTheme="minorEastAsia" w:cstheme="minorBidi"/>
          <w:b/>
          <w:bCs/>
          <w:kern w:val="2"/>
          <w:sz w:val="28"/>
          <w:szCs w:val="28"/>
        </w:rPr>
        <w:t>0台</w:t>
      </w:r>
    </w:p>
    <w:p w14:paraId="44D33CC8">
      <w:pPr>
        <w:pStyle w:val="18"/>
        <w:widowControl/>
        <w:numPr>
          <w:ilvl w:val="1"/>
          <w:numId w:val="1"/>
        </w:numPr>
        <w:wordWrap w:val="0"/>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交换容量≥672Gbps，包转发率≥171Mpps，静音无风扇；</w:t>
      </w:r>
    </w:p>
    <w:p w14:paraId="2D4A63F9">
      <w:pPr>
        <w:pStyle w:val="18"/>
        <w:widowControl/>
        <w:numPr>
          <w:ilvl w:val="1"/>
          <w:numId w:val="1"/>
        </w:numPr>
        <w:wordWrap w:val="0"/>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提供≥24个10/100/1000BASE-T电口，提供≥4个1/10GE SFP+端口；</w:t>
      </w:r>
    </w:p>
    <w:p w14:paraId="18CC4566">
      <w:pPr>
        <w:pStyle w:val="18"/>
        <w:widowControl/>
        <w:numPr>
          <w:ilvl w:val="1"/>
          <w:numId w:val="1"/>
        </w:numPr>
        <w:wordWrap w:val="0"/>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支持基于端口的VLAN，支持基于协议的VLAN；支持基于MAC的VLAN，最大VLAN数(不是VLAN ID)&gt;=40</w:t>
      </w:r>
      <w:r>
        <w:rPr>
          <w:rFonts w:hint="eastAsia" w:asciiTheme="minorHAnsi" w:hAnsiTheme="minorHAnsi" w:eastAsiaTheme="minorEastAsia" w:cstheme="minorBidi"/>
          <w:kern w:val="2"/>
          <w:sz w:val="28"/>
          <w:szCs w:val="28"/>
          <w:lang w:val="en-US" w:eastAsia="zh-CN"/>
        </w:rPr>
        <w:t>00</w:t>
      </w:r>
    </w:p>
    <w:p w14:paraId="2F264C99">
      <w:pPr>
        <w:pStyle w:val="18"/>
        <w:widowControl/>
        <w:numPr>
          <w:ilvl w:val="1"/>
          <w:numId w:val="1"/>
        </w:numPr>
        <w:wordWrap w:val="0"/>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堆叠链路冗余保护能够快速收敛，收敛时间≤50ms；支持通过标准以太端口进行堆叠，支持完善的堆叠分裂检测机制，堆叠分裂后能自动完成MAC和IP地址的重配置，无需手动干预</w:t>
      </w:r>
    </w:p>
    <w:p w14:paraId="69FB3568">
      <w:pPr>
        <w:pStyle w:val="18"/>
        <w:widowControl/>
        <w:numPr>
          <w:ilvl w:val="1"/>
          <w:numId w:val="1"/>
        </w:numPr>
        <w:wordWrap w:val="0"/>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支持IPv4/IPV6双栈管理和转发，支持静态路由协议和RIP、OSPF等路由协议，支持丰富的管理和安全特性；支持IGMP Snooping v1/v2/v3，MLD Snooping v1/v2，支持OAM(802.1AG， 802.3AH)以太网运行、维护和管理标准</w:t>
      </w:r>
    </w:p>
    <w:p w14:paraId="1BF80361">
      <w:pPr>
        <w:pStyle w:val="18"/>
        <w:widowControl/>
        <w:numPr>
          <w:ilvl w:val="1"/>
          <w:numId w:val="1"/>
        </w:numPr>
        <w:wordWrap w:val="0"/>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支持内置智能图形化管理功能，能够实现通过图形化界面设备配置及命令一键下发和版本智能升级，全局配置及网管口配置，设备升级备份、监控及设备故障替换，组网拓扑可视及管理、设备列表展示等功能。</w:t>
      </w:r>
    </w:p>
    <w:p w14:paraId="34E4EB2D">
      <w:pPr>
        <w:pStyle w:val="18"/>
        <w:widowControl/>
        <w:numPr>
          <w:ilvl w:val="1"/>
          <w:numId w:val="1"/>
        </w:numPr>
        <w:wordWrap w:val="0"/>
        <w:rPr>
          <w:rFonts w:hint="default"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为了保障通信网络安全，交换机产品制造商需要具备通信网络安全服务能力，要求提供中国通信企业协会的通信网络安全服务能力证书，应急响应能力符合一级能力要求；提供相关有效证书复印件并加盖厂商公章佐证；</w:t>
      </w:r>
    </w:p>
    <w:p w14:paraId="5188687E">
      <w:pPr>
        <w:pStyle w:val="18"/>
        <w:widowControl/>
        <w:numPr>
          <w:ilvl w:val="0"/>
          <w:numId w:val="1"/>
        </w:numPr>
        <w:wordWrap w:val="0"/>
        <w:rPr>
          <w:rFonts w:hint="default" w:asciiTheme="minorHAnsi" w:hAnsiTheme="minorHAnsi" w:eastAsiaTheme="minorEastAsia" w:cstheme="minorBidi"/>
          <w:b/>
          <w:bCs/>
          <w:kern w:val="2"/>
          <w:sz w:val="28"/>
          <w:szCs w:val="28"/>
        </w:rPr>
      </w:pPr>
      <w:r>
        <w:rPr>
          <w:rFonts w:asciiTheme="minorHAnsi" w:hAnsiTheme="minorHAnsi" w:eastAsiaTheme="minorEastAsia" w:cstheme="minorBidi"/>
          <w:b/>
          <w:bCs/>
          <w:kern w:val="2"/>
          <w:sz w:val="28"/>
          <w:szCs w:val="28"/>
        </w:rPr>
        <w:t>48口接入交换机</w:t>
      </w:r>
      <w:r>
        <w:rPr>
          <w:rFonts w:hint="eastAsia" w:asciiTheme="minorHAnsi" w:hAnsiTheme="minorHAnsi" w:eastAsiaTheme="minorEastAsia" w:cstheme="minorBidi"/>
          <w:b/>
          <w:bCs/>
          <w:kern w:val="2"/>
          <w:sz w:val="28"/>
          <w:szCs w:val="28"/>
          <w:lang w:eastAsia="zh-CN"/>
        </w:rPr>
        <w:t>：</w:t>
      </w:r>
      <w:r>
        <w:rPr>
          <w:rFonts w:asciiTheme="minorHAnsi" w:hAnsiTheme="minorHAnsi" w:eastAsiaTheme="minorEastAsia" w:cstheme="minorBidi"/>
          <w:b/>
          <w:bCs/>
          <w:kern w:val="2"/>
          <w:sz w:val="28"/>
          <w:szCs w:val="28"/>
        </w:rPr>
        <w:t>数量</w:t>
      </w:r>
      <w:r>
        <w:rPr>
          <w:rFonts w:hint="default" w:asciiTheme="minorHAnsi" w:hAnsiTheme="minorHAnsi" w:eastAsiaTheme="minorEastAsia" w:cstheme="minorBidi"/>
          <w:b/>
          <w:bCs/>
          <w:kern w:val="2"/>
          <w:sz w:val="28"/>
          <w:szCs w:val="28"/>
        </w:rPr>
        <w:t>4台</w:t>
      </w:r>
    </w:p>
    <w:p w14:paraId="724807D3">
      <w:pPr>
        <w:pStyle w:val="18"/>
        <w:widowControl/>
        <w:numPr>
          <w:ilvl w:val="1"/>
          <w:numId w:val="1"/>
        </w:numPr>
        <w:wordWrap w:val="0"/>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交换容量≥672Gbps，包转发率≥207Mpps，静音无风扇；</w:t>
      </w:r>
    </w:p>
    <w:p w14:paraId="52861500">
      <w:pPr>
        <w:pStyle w:val="18"/>
        <w:widowControl/>
        <w:numPr>
          <w:ilvl w:val="1"/>
          <w:numId w:val="1"/>
        </w:numPr>
        <w:wordWrap w:val="0"/>
        <w:rPr>
          <w:rFonts w:asciiTheme="minorHAnsi" w:hAnsiTheme="minorHAnsi" w:eastAsiaTheme="minorEastAsia" w:cstheme="minorBidi"/>
          <w:color w:val="auto"/>
          <w:kern w:val="2"/>
          <w:sz w:val="28"/>
          <w:szCs w:val="28"/>
        </w:rPr>
      </w:pPr>
      <w:r>
        <w:rPr>
          <w:rFonts w:asciiTheme="minorHAnsi" w:hAnsiTheme="minorHAnsi" w:eastAsiaTheme="minorEastAsia" w:cstheme="minorBidi"/>
          <w:color w:val="auto"/>
          <w:kern w:val="2"/>
          <w:sz w:val="28"/>
          <w:szCs w:val="28"/>
        </w:rPr>
        <w:t>提供≥48个10/100/1000BASE-T电口，提供≥4个1/10GE SFP+端口；</w:t>
      </w:r>
    </w:p>
    <w:p w14:paraId="0C4E8394">
      <w:pPr>
        <w:pStyle w:val="18"/>
        <w:widowControl/>
        <w:numPr>
          <w:ilvl w:val="1"/>
          <w:numId w:val="1"/>
        </w:numPr>
        <w:wordWrap w:val="0"/>
        <w:rPr>
          <w:rFonts w:asciiTheme="minorHAnsi" w:hAnsiTheme="minorHAnsi" w:eastAsiaTheme="minorEastAsia" w:cstheme="minorBidi"/>
          <w:color w:val="auto"/>
          <w:kern w:val="2"/>
          <w:sz w:val="28"/>
          <w:szCs w:val="28"/>
        </w:rPr>
      </w:pPr>
      <w:r>
        <w:rPr>
          <w:rFonts w:asciiTheme="minorHAnsi" w:hAnsiTheme="minorHAnsi" w:eastAsiaTheme="minorEastAsia" w:cstheme="minorBidi"/>
          <w:color w:val="auto"/>
          <w:kern w:val="2"/>
          <w:sz w:val="28"/>
          <w:szCs w:val="28"/>
        </w:rPr>
        <w:t>支持基于端口的VLAN，支持基于协议的VLAN；支持基于MAC的VLAN，最大VLAN数(不是VLAN ID)&gt;=</w:t>
      </w:r>
      <w:r>
        <w:rPr>
          <w:rFonts w:hint="eastAsia" w:asciiTheme="minorHAnsi" w:hAnsiTheme="minorHAnsi" w:eastAsiaTheme="minorEastAsia" w:cstheme="minorBidi"/>
          <w:color w:val="auto"/>
          <w:kern w:val="2"/>
          <w:sz w:val="28"/>
          <w:szCs w:val="28"/>
          <w:lang w:val="en-US" w:eastAsia="zh-CN"/>
        </w:rPr>
        <w:t>4000</w:t>
      </w:r>
    </w:p>
    <w:p w14:paraId="28086EE3">
      <w:pPr>
        <w:pStyle w:val="18"/>
        <w:widowControl/>
        <w:numPr>
          <w:ilvl w:val="1"/>
          <w:numId w:val="1"/>
        </w:numPr>
        <w:wordWrap w:val="0"/>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堆叠链路冗余保护能够快速收敛，收敛时间≤50ms；支持通过标准以太端口进行堆叠，支持完善的堆叠分裂检测机制，堆叠分裂后能自动完成MAC和IP地址的重配置，无需手动干预</w:t>
      </w:r>
    </w:p>
    <w:p w14:paraId="353482CE">
      <w:pPr>
        <w:pStyle w:val="18"/>
        <w:widowControl/>
        <w:numPr>
          <w:ilvl w:val="1"/>
          <w:numId w:val="1"/>
        </w:numPr>
        <w:wordWrap w:val="0"/>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支持IPv4/IPV6双栈管理和转发，支持静态路由协议和RIP、OSPF等路由协议，支持丰富的管理和安全特性；支持IGMP Snooping v1/v2/v3，MLD Snooping v1/v2，支持OAM(802.1AG， 802.3AH)以太网运行、维护和管理标准</w:t>
      </w:r>
    </w:p>
    <w:p w14:paraId="355F352F">
      <w:pPr>
        <w:pStyle w:val="18"/>
        <w:widowControl/>
        <w:numPr>
          <w:ilvl w:val="1"/>
          <w:numId w:val="1"/>
        </w:numPr>
        <w:wordWrap w:val="0"/>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支持内置智能图形化管理功能，能够实现通过图形化界面设备配置及命令一键下发和版本智能升级，全局配置及网管口配置，设备升级备份、监控及设备故障替换，组网拓扑可视及管理、设备列表展示等功能。</w:t>
      </w:r>
    </w:p>
    <w:p w14:paraId="093A3F0B">
      <w:pPr>
        <w:pStyle w:val="18"/>
        <w:widowControl/>
        <w:numPr>
          <w:ilvl w:val="0"/>
          <w:numId w:val="1"/>
        </w:numPr>
        <w:wordWrap w:val="0"/>
        <w:rPr>
          <w:rFonts w:hint="default" w:asciiTheme="minorHAnsi" w:hAnsiTheme="minorHAnsi" w:eastAsiaTheme="minorEastAsia" w:cstheme="minorBidi"/>
          <w:b/>
          <w:bCs/>
          <w:kern w:val="2"/>
          <w:sz w:val="28"/>
          <w:szCs w:val="28"/>
        </w:rPr>
      </w:pPr>
      <w:r>
        <w:rPr>
          <w:rFonts w:asciiTheme="minorHAnsi" w:hAnsiTheme="minorHAnsi" w:eastAsiaTheme="minorEastAsia" w:cstheme="minorBidi"/>
          <w:b/>
          <w:bCs/>
          <w:kern w:val="2"/>
          <w:sz w:val="28"/>
          <w:szCs w:val="28"/>
        </w:rPr>
        <w:t>24口万兆光口业务板卡</w:t>
      </w:r>
      <w:r>
        <w:rPr>
          <w:rFonts w:hint="eastAsia" w:asciiTheme="minorHAnsi" w:hAnsiTheme="minorHAnsi" w:eastAsiaTheme="minorEastAsia" w:cstheme="minorBidi"/>
          <w:b/>
          <w:bCs/>
          <w:kern w:val="2"/>
          <w:sz w:val="28"/>
          <w:szCs w:val="28"/>
          <w:lang w:eastAsia="zh-CN"/>
        </w:rPr>
        <w:t>：</w:t>
      </w:r>
      <w:r>
        <w:rPr>
          <w:rFonts w:asciiTheme="minorHAnsi" w:hAnsiTheme="minorHAnsi" w:eastAsiaTheme="minorEastAsia" w:cstheme="minorBidi"/>
          <w:b/>
          <w:bCs/>
          <w:kern w:val="2"/>
          <w:sz w:val="28"/>
          <w:szCs w:val="28"/>
        </w:rPr>
        <w:t>数量</w:t>
      </w:r>
      <w:r>
        <w:rPr>
          <w:rFonts w:hint="default" w:asciiTheme="minorHAnsi" w:hAnsiTheme="minorHAnsi" w:eastAsiaTheme="minorEastAsia" w:cstheme="minorBidi"/>
          <w:b/>
          <w:bCs/>
          <w:kern w:val="2"/>
          <w:sz w:val="28"/>
          <w:szCs w:val="28"/>
        </w:rPr>
        <w:t>2块</w:t>
      </w:r>
    </w:p>
    <w:p w14:paraId="52C3A4A8">
      <w:pPr>
        <w:pStyle w:val="18"/>
        <w:widowControl/>
        <w:numPr>
          <w:ilvl w:val="1"/>
          <w:numId w:val="1"/>
        </w:numPr>
        <w:wordWrap w:val="0"/>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非盒式交换机</w:t>
      </w:r>
      <w:r>
        <w:rPr>
          <w:rFonts w:hint="eastAsia" w:asciiTheme="minorHAnsi" w:hAnsiTheme="minorHAnsi" w:eastAsiaTheme="minorEastAsia" w:cstheme="minorBidi"/>
          <w:kern w:val="2"/>
          <w:sz w:val="28"/>
          <w:szCs w:val="28"/>
          <w:lang w:eastAsia="zh-CN"/>
        </w:rPr>
        <w:t>，</w:t>
      </w:r>
      <w:r>
        <w:rPr>
          <w:rFonts w:asciiTheme="minorHAnsi" w:hAnsiTheme="minorHAnsi" w:eastAsiaTheme="minorEastAsia" w:cstheme="minorBidi"/>
          <w:kern w:val="2"/>
          <w:sz w:val="28"/>
          <w:szCs w:val="28"/>
        </w:rPr>
        <w:t>交换容量≥480Gbps，包转发率≥1000Mpps</w:t>
      </w:r>
      <w:r>
        <w:rPr>
          <w:rFonts w:hint="eastAsia" w:asciiTheme="minorHAnsi" w:hAnsiTheme="minorHAnsi" w:eastAsiaTheme="minorEastAsia" w:cstheme="minorBidi"/>
          <w:kern w:val="2"/>
          <w:sz w:val="28"/>
          <w:szCs w:val="28"/>
          <w:lang w:eastAsia="zh-CN"/>
        </w:rPr>
        <w:t>，</w:t>
      </w:r>
      <w:r>
        <w:rPr>
          <w:rFonts w:asciiTheme="minorHAnsi" w:hAnsiTheme="minorHAnsi" w:eastAsiaTheme="minorEastAsia" w:cstheme="minorBidi"/>
          <w:kern w:val="2"/>
          <w:sz w:val="28"/>
          <w:szCs w:val="28"/>
        </w:rPr>
        <w:t>与</w:t>
      </w:r>
      <w:r>
        <w:rPr>
          <w:rFonts w:hint="eastAsia" w:asciiTheme="minorHAnsi" w:hAnsiTheme="minorHAnsi" w:eastAsiaTheme="minorEastAsia" w:cstheme="minorBidi"/>
          <w:kern w:val="2"/>
          <w:sz w:val="28"/>
          <w:szCs w:val="28"/>
          <w:lang w:val="en-US" w:eastAsia="zh-CN"/>
        </w:rPr>
        <w:t>在用核心交换机</w:t>
      </w:r>
      <w:r>
        <w:rPr>
          <w:rFonts w:asciiTheme="minorHAnsi" w:hAnsiTheme="minorHAnsi" w:eastAsiaTheme="minorEastAsia" w:cstheme="minorBidi"/>
          <w:kern w:val="2"/>
          <w:sz w:val="28"/>
          <w:szCs w:val="28"/>
        </w:rPr>
        <w:t>无缝对接，提供对接承诺函加盖厂商公章；</w:t>
      </w:r>
    </w:p>
    <w:p w14:paraId="06D8316E">
      <w:pPr>
        <w:pStyle w:val="18"/>
        <w:widowControl/>
        <w:numPr>
          <w:ilvl w:val="1"/>
          <w:numId w:val="1"/>
        </w:numPr>
        <w:wordWrap w:val="0"/>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支持ARP Proxy、支持DHCP Relay、DHCP Server\DHCPv6；</w:t>
      </w:r>
    </w:p>
    <w:p w14:paraId="3EF31798">
      <w:pPr>
        <w:pStyle w:val="18"/>
        <w:widowControl/>
        <w:numPr>
          <w:ilvl w:val="1"/>
          <w:numId w:val="1"/>
        </w:numPr>
        <w:wordWrap w:val="0"/>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支持静态路由、支持IPv4/IPV6 路由特性RIPv1/v2、RIPng、OSPFv2/v3、IS-IS/v6、BGPv4、BGP4+、支持手工隧道、支持ISATAP、支持6to4 隧道、支持等价路由、支持策略路由、支持路由策略；</w:t>
      </w:r>
    </w:p>
    <w:p w14:paraId="25B52F29">
      <w:pPr>
        <w:pStyle w:val="18"/>
        <w:widowControl/>
        <w:numPr>
          <w:ilvl w:val="1"/>
          <w:numId w:val="1"/>
        </w:numPr>
        <w:wordWrap w:val="0"/>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支持MACSEC硬件加密技术，实现MAC层安全加密，包括用户数据加密、数据帧完整性检查及数据源真实性校验；</w:t>
      </w:r>
    </w:p>
    <w:p w14:paraId="540291D6">
      <w:pPr>
        <w:pStyle w:val="18"/>
        <w:widowControl/>
        <w:numPr>
          <w:ilvl w:val="1"/>
          <w:numId w:val="1"/>
        </w:numPr>
        <w:wordWrap w:val="0"/>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支持sFlow流量统计，支持Telemetry流量可视化功能，能够通过对业务报文进行标记实现对网络级和设备级的丢包统计；</w:t>
      </w:r>
    </w:p>
    <w:p w14:paraId="12DE0D29">
      <w:pPr>
        <w:pStyle w:val="18"/>
        <w:widowControl/>
        <w:numPr>
          <w:ilvl w:val="1"/>
          <w:numId w:val="1"/>
        </w:numPr>
        <w:wordWrap w:val="0"/>
        <w:rPr>
          <w:rFonts w:hint="default"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提供≥24个万兆以太网光接口模块；</w:t>
      </w:r>
    </w:p>
    <w:p w14:paraId="4E475EF0">
      <w:pPr>
        <w:pStyle w:val="18"/>
        <w:widowControl/>
        <w:numPr>
          <w:ilvl w:val="1"/>
          <w:numId w:val="1"/>
        </w:numPr>
        <w:wordWrap w:val="0"/>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硬件规格：高度≥1U；</w:t>
      </w:r>
    </w:p>
    <w:p w14:paraId="56503C6B">
      <w:pPr>
        <w:pStyle w:val="18"/>
        <w:widowControl/>
        <w:numPr>
          <w:ilvl w:val="0"/>
          <w:numId w:val="1"/>
        </w:numPr>
        <w:wordWrap w:val="0"/>
        <w:rPr>
          <w:rFonts w:hint="default" w:asciiTheme="minorHAnsi" w:hAnsiTheme="minorHAnsi" w:eastAsiaTheme="minorEastAsia" w:cstheme="minorBidi"/>
          <w:b/>
          <w:bCs/>
          <w:kern w:val="2"/>
          <w:sz w:val="28"/>
          <w:szCs w:val="28"/>
        </w:rPr>
      </w:pPr>
      <w:r>
        <w:rPr>
          <w:rFonts w:asciiTheme="minorHAnsi" w:hAnsiTheme="minorHAnsi" w:eastAsiaTheme="minorEastAsia" w:cstheme="minorBidi"/>
          <w:b/>
          <w:bCs/>
          <w:kern w:val="2"/>
          <w:sz w:val="28"/>
          <w:szCs w:val="28"/>
        </w:rPr>
        <w:t>万兆单模光模块</w:t>
      </w:r>
      <w:r>
        <w:rPr>
          <w:rFonts w:hint="eastAsia" w:asciiTheme="minorHAnsi" w:hAnsiTheme="minorHAnsi" w:eastAsiaTheme="minorEastAsia" w:cstheme="minorBidi"/>
          <w:b/>
          <w:bCs/>
          <w:kern w:val="2"/>
          <w:sz w:val="28"/>
          <w:szCs w:val="28"/>
          <w:lang w:eastAsia="zh-CN"/>
        </w:rPr>
        <w:t>：</w:t>
      </w:r>
      <w:r>
        <w:rPr>
          <w:rFonts w:asciiTheme="minorHAnsi" w:hAnsiTheme="minorHAnsi" w:eastAsiaTheme="minorEastAsia" w:cstheme="minorBidi"/>
          <w:b/>
          <w:bCs/>
          <w:kern w:val="2"/>
          <w:sz w:val="28"/>
          <w:szCs w:val="28"/>
        </w:rPr>
        <w:t>数量</w:t>
      </w:r>
      <w:r>
        <w:rPr>
          <w:rFonts w:hint="default" w:asciiTheme="minorHAnsi" w:hAnsiTheme="minorHAnsi" w:eastAsiaTheme="minorEastAsia" w:cstheme="minorBidi"/>
          <w:b/>
          <w:bCs/>
          <w:kern w:val="2"/>
          <w:sz w:val="28"/>
          <w:szCs w:val="28"/>
        </w:rPr>
        <w:t>10个</w:t>
      </w:r>
    </w:p>
    <w:p w14:paraId="1733E56B">
      <w:pPr>
        <w:pStyle w:val="18"/>
        <w:widowControl/>
        <w:numPr>
          <w:ilvl w:val="1"/>
          <w:numId w:val="1"/>
        </w:numPr>
        <w:wordWrap w:val="0"/>
        <w:rPr>
          <w:rFonts w:hint="default"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SFP+ 万兆模块(1310nm,10km,LC)</w:t>
      </w:r>
    </w:p>
    <w:p w14:paraId="21163318">
      <w:pPr>
        <w:pStyle w:val="18"/>
        <w:widowControl/>
        <w:numPr>
          <w:ilvl w:val="1"/>
          <w:numId w:val="1"/>
        </w:numPr>
        <w:wordWrap w:val="0"/>
        <w:rPr>
          <w:rFonts w:hint="default" w:asciiTheme="minorHAnsi" w:hAnsiTheme="minorHAnsi" w:eastAsiaTheme="minorEastAsia" w:cstheme="minorBidi"/>
          <w:kern w:val="2"/>
          <w:sz w:val="28"/>
          <w:szCs w:val="28"/>
        </w:rPr>
      </w:pPr>
      <w:bookmarkStart w:id="0" w:name="OLE_LINK2"/>
      <w:bookmarkStart w:id="1" w:name="OLE_LINK1"/>
      <w:r>
        <w:rPr>
          <w:rFonts w:hint="default" w:asciiTheme="minorHAnsi" w:hAnsiTheme="minorHAnsi" w:eastAsiaTheme="minorEastAsia" w:cstheme="minorBidi"/>
          <w:kern w:val="2"/>
          <w:sz w:val="28"/>
          <w:szCs w:val="28"/>
        </w:rPr>
        <w:t>能与医院在用的交换机兼容</w:t>
      </w:r>
    </w:p>
    <w:bookmarkEnd w:id="0"/>
    <w:bookmarkEnd w:id="1"/>
    <w:p w14:paraId="2761793A">
      <w:pPr>
        <w:pStyle w:val="18"/>
        <w:widowControl/>
        <w:numPr>
          <w:ilvl w:val="0"/>
          <w:numId w:val="1"/>
        </w:numPr>
        <w:wordWrap w:val="0"/>
        <w:rPr>
          <w:rFonts w:hint="default" w:asciiTheme="minorHAnsi" w:hAnsiTheme="minorHAnsi" w:eastAsiaTheme="minorEastAsia" w:cstheme="minorBidi"/>
          <w:b/>
          <w:bCs/>
          <w:kern w:val="2"/>
          <w:sz w:val="28"/>
          <w:szCs w:val="28"/>
        </w:rPr>
      </w:pPr>
      <w:r>
        <w:rPr>
          <w:rFonts w:asciiTheme="minorHAnsi" w:hAnsiTheme="minorHAnsi" w:eastAsiaTheme="minorEastAsia" w:cstheme="minorBidi"/>
          <w:b/>
          <w:bCs/>
          <w:kern w:val="2"/>
          <w:sz w:val="28"/>
          <w:szCs w:val="28"/>
        </w:rPr>
        <w:t>万兆多模光模块</w:t>
      </w:r>
      <w:r>
        <w:rPr>
          <w:rFonts w:hint="eastAsia" w:asciiTheme="minorHAnsi" w:hAnsiTheme="minorHAnsi" w:eastAsiaTheme="minorEastAsia" w:cstheme="minorBidi"/>
          <w:b/>
          <w:bCs/>
          <w:kern w:val="2"/>
          <w:sz w:val="28"/>
          <w:szCs w:val="28"/>
          <w:lang w:eastAsia="zh-CN"/>
        </w:rPr>
        <w:t>：</w:t>
      </w:r>
      <w:r>
        <w:rPr>
          <w:rFonts w:asciiTheme="minorHAnsi" w:hAnsiTheme="minorHAnsi" w:eastAsiaTheme="minorEastAsia" w:cstheme="minorBidi"/>
          <w:b/>
          <w:bCs/>
          <w:kern w:val="2"/>
          <w:sz w:val="28"/>
          <w:szCs w:val="28"/>
        </w:rPr>
        <w:t>数量5</w:t>
      </w:r>
      <w:r>
        <w:rPr>
          <w:rFonts w:hint="default" w:asciiTheme="minorHAnsi" w:hAnsiTheme="minorHAnsi" w:eastAsiaTheme="minorEastAsia" w:cstheme="minorBidi"/>
          <w:b/>
          <w:bCs/>
          <w:kern w:val="2"/>
          <w:sz w:val="28"/>
          <w:szCs w:val="28"/>
        </w:rPr>
        <w:t>0个</w:t>
      </w:r>
    </w:p>
    <w:p w14:paraId="55D007FD">
      <w:pPr>
        <w:pStyle w:val="18"/>
        <w:widowControl/>
        <w:numPr>
          <w:ilvl w:val="1"/>
          <w:numId w:val="1"/>
        </w:numPr>
        <w:wordWrap w:val="0"/>
        <w:rPr>
          <w:rFonts w:hint="default"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SFP+ 万兆模块(850nm,300m,LC)</w:t>
      </w:r>
    </w:p>
    <w:p w14:paraId="4CAF19DB">
      <w:pPr>
        <w:pStyle w:val="18"/>
        <w:widowControl/>
        <w:numPr>
          <w:ilvl w:val="1"/>
          <w:numId w:val="1"/>
        </w:numPr>
        <w:wordWrap w:val="0"/>
        <w:rPr>
          <w:rFonts w:hint="eastAsia"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kern w:val="2"/>
          <w:sz w:val="28"/>
          <w:szCs w:val="28"/>
        </w:rPr>
        <w:t>能与医院在用的交换机兼容</w:t>
      </w:r>
    </w:p>
    <w:p w14:paraId="1F890B68">
      <w:pPr>
        <w:rPr>
          <w:rFonts w:hint="eastAsia" w:ascii="宋体" w:hAnsi="宋体" w:eastAsia="宋体" w:cs="Times New Roman"/>
          <w:b/>
          <w:bCs/>
          <w:color w:val="000000"/>
          <w:kern w:val="0"/>
          <w:sz w:val="28"/>
          <w:szCs w:val="28"/>
          <w:lang w:val="en-US" w:eastAsia="zh-CN"/>
        </w:rPr>
      </w:pPr>
      <w:r>
        <w:rPr>
          <w:rFonts w:hint="eastAsia" w:ascii="宋体" w:hAnsi="宋体" w:eastAsia="宋体" w:cs="Times New Roman"/>
          <w:b/>
          <w:bCs/>
          <w:color w:val="000000"/>
          <w:kern w:val="0"/>
          <w:sz w:val="28"/>
          <w:szCs w:val="28"/>
          <w:lang w:val="en-US" w:eastAsia="zh-CN"/>
        </w:rPr>
        <w:t>三、售后服务与质保要求</w:t>
      </w:r>
    </w:p>
    <w:p w14:paraId="1E74B6D6">
      <w:pPr>
        <w:pStyle w:val="18"/>
        <w:widowControl/>
        <w:numPr>
          <w:ilvl w:val="0"/>
          <w:numId w:val="0"/>
        </w:numPr>
        <w:wordWrap w:val="0"/>
        <w:ind w:firstLine="280" w:firstLineChars="10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3.1 质保总则</w:t>
      </w:r>
    </w:p>
    <w:p w14:paraId="0EBE9FE7">
      <w:pPr>
        <w:pStyle w:val="18"/>
        <w:widowControl/>
        <w:numPr>
          <w:ilvl w:val="0"/>
          <w:numId w:val="0"/>
        </w:numPr>
        <w:wordWrap w:val="0"/>
        <w:ind w:firstLine="280" w:firstLineChars="10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1.  本次采购的所有货物（含交换机、板卡、光模块）均享受叁年免费质保。</w:t>
      </w:r>
    </w:p>
    <w:p w14:paraId="655F02E4">
      <w:pPr>
        <w:pStyle w:val="18"/>
        <w:widowControl/>
        <w:numPr>
          <w:ilvl w:val="0"/>
          <w:numId w:val="0"/>
        </w:numPr>
        <w:wordWrap w:val="0"/>
        <w:ind w:firstLine="280" w:firstLineChars="10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2.  质保期自本项目所有货物最终验收合格并双方签署《验收报告》之日起计算。</w:t>
      </w:r>
    </w:p>
    <w:p w14:paraId="4CA647F9">
      <w:pPr>
        <w:pStyle w:val="18"/>
        <w:widowControl/>
        <w:numPr>
          <w:ilvl w:val="0"/>
          <w:numId w:val="0"/>
        </w:numPr>
        <w:wordWrap w:val="0"/>
        <w:ind w:firstLine="280" w:firstLineChars="10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3.2 质保服务范围</w:t>
      </w:r>
    </w:p>
    <w:p w14:paraId="0CFB2E61">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质保服务应包括但不限于：</w:t>
      </w:r>
    </w:p>
    <w:p w14:paraId="4F3E7CA9">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1.  硬件维修与更换： 对出现故障的部件提供免费维修或更换（包括但不限于设备整机、电源模块、风扇模块、板卡、光模块等）。所更换的部件应为全新原厂部件，且其质保期自更换之日起重新计算。</w:t>
      </w:r>
    </w:p>
    <w:p w14:paraId="5BABD7DF">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2.  软件升级服务： 免费提供质保期内设备操作系统（OS）或固件（Firmware）的版本升级服务，以修复已知漏洞、提升性能与稳定性。</w:t>
      </w:r>
    </w:p>
    <w:p w14:paraId="5F49B725">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3.  7x24小时技术支持： 提供全天候的电话、邮件等远程技术支持，用于故障诊断和技术咨询。</w:t>
      </w:r>
    </w:p>
    <w:p w14:paraId="22565E0A">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4.  现场响应服务： 对于无法远程解决的故障，提供原厂家工程师上门现场服务。</w:t>
      </w:r>
    </w:p>
    <w:p w14:paraId="50B0EE22">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3.3 响应及处理时限</w:t>
      </w:r>
    </w:p>
    <w:p w14:paraId="18DED38D">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供应商必须承诺并遵守以下服务等级协议（SLA）：</w:t>
      </w:r>
    </w:p>
    <w:p w14:paraId="2AAC816F">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1.  电话响应： 接到故障报修电话后15分钟内响应，与用户沟通并开始远程故障诊断。</w:t>
      </w:r>
    </w:p>
    <w:p w14:paraId="347F30EF">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2.  现场响应：</w:t>
      </w:r>
    </w:p>
    <w:p w14:paraId="115D46CA">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ightChars="0"/>
        <w:rPr>
          <w:rFonts w:hint="default"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 xml:space="preserve">  </w:t>
      </w:r>
      <w:r>
        <w:rPr>
          <w:rFonts w:hint="default" w:asciiTheme="minorHAnsi" w:hAnsiTheme="minorHAnsi" w:eastAsiaTheme="minorEastAsia" w:cstheme="minorBidi"/>
          <w:b w:val="0"/>
          <w:color w:val="auto"/>
          <w:kern w:val="2"/>
          <w:sz w:val="28"/>
          <w:szCs w:val="28"/>
          <w:lang w:val="en-US" w:eastAsia="zh-CN" w:bidi="ar-SA"/>
        </w:rPr>
        <w:t>服务时间：提供 7×24小时紧急故障响应服务。</w:t>
      </w:r>
    </w:p>
    <w:p w14:paraId="6F286FB2">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ightChars="0" w:firstLine="280" w:firstLineChars="100"/>
        <w:rPr>
          <w:rFonts w:hint="default"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响应时间：电话响应：接到报障电话后 15分钟内响应。</w:t>
      </w:r>
    </w:p>
    <w:p w14:paraId="1619C3E7">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ightChars="0" w:firstLine="280" w:firstLineChars="100"/>
        <w:rPr>
          <w:rFonts w:hint="eastAsia"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到场时间：市区内 ≤ 2小时（或根据医院地理位置明确，如“≤ 4小时”）。重大故障（如整机宕机）需优先处理。</w:t>
      </w:r>
    </w:p>
    <w:p w14:paraId="775B3452">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3.  故障解决：</w:t>
      </w:r>
    </w:p>
    <w:p w14:paraId="7E590128">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 xml:space="preserve">      一般故障：需在到达现场后2小时内修复或提供临时解决方案。</w:t>
      </w:r>
    </w:p>
    <w:p w14:paraId="7DF5F422">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 xml:space="preserve">      重大复杂故障：若无法在4小时内修复，供应商需在24小时内提供相同或更高规格的备用设备，保证业务不中断，直至原设备修复完毕。</w:t>
      </w:r>
    </w:p>
    <w:p w14:paraId="1D7F8402">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4.  备件支持： 供应商需在本地设有备件库或承诺备件到位时间（如：≤8小时），以确保能满足上述修复时限。</w:t>
      </w:r>
    </w:p>
    <w:p w14:paraId="42B655BE">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3.4 定期巡检服务为防患于未然，供应商在叁年质保期内提供每月一次的原厂家工程师免费的主动巡检服务，并提交巡检报告。内容包括：</w:t>
      </w:r>
    </w:p>
    <w:p w14:paraId="7324039F">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 xml:space="preserve">  1.设备运行状态检查（CPU、内存利用率、温度）。</w:t>
      </w:r>
    </w:p>
    <w:p w14:paraId="6BED4AB8">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 xml:space="preserve">  2.日志检查与分析。</w:t>
      </w:r>
    </w:p>
    <w:p w14:paraId="038BD030">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 xml:space="preserve">  3.端口状态及错误包统计。</w:t>
      </w:r>
    </w:p>
    <w:p w14:paraId="2742A795">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 xml:space="preserve">  4.电源及风扇状态检查。</w:t>
      </w:r>
    </w:p>
    <w:p w14:paraId="620DDA80">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 xml:space="preserve">  5.提供优化建议。</w:t>
      </w:r>
    </w:p>
    <w:p w14:paraId="45BC95A3">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r>
        <w:rPr>
          <w:rFonts w:hint="eastAsia" w:ascii="宋体" w:hAnsi="宋体" w:eastAsia="宋体" w:cs="Times New Roman"/>
          <w:b/>
          <w:bCs/>
          <w:color w:val="000000"/>
          <w:kern w:val="0"/>
          <w:sz w:val="28"/>
          <w:szCs w:val="28"/>
        </w:rPr>
        <w:t xml:space="preserve"> </w:t>
      </w:r>
      <w:r>
        <w:rPr>
          <w:rFonts w:hint="eastAsia" w:cs="Times New Roman"/>
          <w:b/>
          <w:bCs/>
          <w:color w:val="000000"/>
          <w:kern w:val="0"/>
          <w:sz w:val="28"/>
          <w:szCs w:val="28"/>
          <w:lang w:eastAsia="zh-CN"/>
        </w:rPr>
        <w:t>四</w:t>
      </w:r>
      <w:r>
        <w:rPr>
          <w:rFonts w:hint="eastAsia" w:ascii="宋体" w:hAnsi="宋体" w:eastAsia="宋体" w:cs="Times New Roman"/>
          <w:b/>
          <w:bCs/>
          <w:color w:val="000000"/>
          <w:kern w:val="0"/>
          <w:sz w:val="28"/>
          <w:szCs w:val="28"/>
        </w:rPr>
        <w:t>、报价与预算</w:t>
      </w:r>
    </w:p>
    <w:p w14:paraId="5EF5BE0E">
      <w:pPr>
        <w:pStyle w:val="18"/>
        <w:widowControl/>
        <w:numPr>
          <w:ilvl w:val="0"/>
          <w:numId w:val="0"/>
        </w:numPr>
        <w:wordWrap w:val="0"/>
        <w:rPr>
          <w:rFonts w:hint="eastAsia" w:ascii="宋体" w:hAnsi="宋体" w:eastAsia="宋体" w:cs="Times New Roman"/>
          <w:b w:val="0"/>
          <w:bCs w:val="0"/>
          <w:color w:val="000000"/>
          <w:kern w:val="0"/>
          <w:sz w:val="28"/>
          <w:szCs w:val="28"/>
          <w:lang w:eastAsia="zh-CN"/>
        </w:rPr>
      </w:pPr>
      <w:r>
        <w:rPr>
          <w:rFonts w:hint="eastAsia" w:cs="Times New Roman"/>
          <w:b w:val="0"/>
          <w:bCs w:val="0"/>
          <w:color w:val="000000"/>
          <w:kern w:val="0"/>
          <w:sz w:val="28"/>
          <w:szCs w:val="28"/>
          <w:lang w:val="en-US" w:eastAsia="zh-CN"/>
        </w:rPr>
        <w:t>4</w:t>
      </w:r>
      <w:r>
        <w:rPr>
          <w:rFonts w:hint="eastAsia" w:ascii="宋体" w:hAnsi="宋体" w:eastAsia="宋体" w:cs="Times New Roman"/>
          <w:b w:val="0"/>
          <w:bCs w:val="0"/>
          <w:color w:val="000000"/>
          <w:kern w:val="0"/>
          <w:sz w:val="28"/>
          <w:szCs w:val="28"/>
        </w:rPr>
        <w:t>.1 预算金额</w:t>
      </w:r>
    </w:p>
    <w:p w14:paraId="4278B503">
      <w:pPr>
        <w:pStyle w:val="18"/>
        <w:widowControl/>
        <w:numPr>
          <w:ilvl w:val="0"/>
          <w:numId w:val="0"/>
        </w:numPr>
        <w:wordWrap w:val="0"/>
        <w:rPr>
          <w:rFonts w:hint="eastAsia" w:ascii="宋体" w:hAnsi="宋体" w:eastAsia="宋体" w:cs="Times New Roman"/>
          <w:b w:val="0"/>
          <w:bCs w:val="0"/>
          <w:color w:val="000000"/>
          <w:kern w:val="0"/>
          <w:sz w:val="28"/>
          <w:szCs w:val="28"/>
          <w:lang w:eastAsia="zh-CN"/>
        </w:rPr>
      </w:pPr>
      <w:r>
        <w:rPr>
          <w:rFonts w:hint="eastAsia" w:ascii="宋体" w:hAnsi="宋体" w:eastAsia="宋体" w:cs="Times New Roman"/>
          <w:b w:val="0"/>
          <w:bCs w:val="0"/>
          <w:color w:val="000000"/>
          <w:kern w:val="0"/>
          <w:sz w:val="28"/>
          <w:szCs w:val="28"/>
        </w:rPr>
        <w:t>本项目总预算为贰拾万元整</w:t>
      </w:r>
      <w:r>
        <w:rPr>
          <w:rFonts w:hint="eastAsia" w:cs="Times New Roman"/>
          <w:b w:val="0"/>
          <w:bCs w:val="0"/>
          <w:color w:val="000000"/>
          <w:kern w:val="0"/>
          <w:sz w:val="28"/>
          <w:szCs w:val="28"/>
          <w:lang w:eastAsia="zh-CN"/>
        </w:rPr>
        <w:t>（</w:t>
      </w:r>
      <w:r>
        <w:rPr>
          <w:rFonts w:hint="eastAsia" w:cs="Times New Roman"/>
          <w:b w:val="0"/>
          <w:bCs w:val="0"/>
          <w:color w:val="000000"/>
          <w:kern w:val="0"/>
          <w:sz w:val="28"/>
          <w:szCs w:val="28"/>
          <w:lang w:val="en-US" w:eastAsia="zh-CN"/>
        </w:rPr>
        <w:t>200000）</w:t>
      </w:r>
      <w:r>
        <w:rPr>
          <w:rFonts w:hint="eastAsia" w:ascii="宋体" w:hAnsi="宋体" w:eastAsia="宋体" w:cs="Times New Roman"/>
          <w:b w:val="0"/>
          <w:bCs w:val="0"/>
          <w:color w:val="000000"/>
          <w:kern w:val="0"/>
          <w:sz w:val="28"/>
          <w:szCs w:val="28"/>
        </w:rPr>
        <w:t>，报价不得超过该金额</w:t>
      </w:r>
      <w:r>
        <w:rPr>
          <w:rFonts w:hint="eastAsia" w:cs="Times New Roman"/>
          <w:b w:val="0"/>
          <w:bCs w:val="0"/>
          <w:color w:val="000000"/>
          <w:kern w:val="0"/>
          <w:sz w:val="28"/>
          <w:szCs w:val="28"/>
          <w:lang w:eastAsia="zh-CN"/>
        </w:rPr>
        <w:t>，</w:t>
      </w:r>
    </w:p>
    <w:p w14:paraId="79640D05">
      <w:pPr>
        <w:pStyle w:val="18"/>
        <w:widowControl/>
        <w:numPr>
          <w:ilvl w:val="0"/>
          <w:numId w:val="0"/>
        </w:numPr>
        <w:wordWrap w:val="0"/>
        <w:rPr>
          <w:rFonts w:hint="eastAsia" w:ascii="宋体" w:hAnsi="宋体" w:eastAsia="宋体" w:cs="Times New Roman"/>
          <w:b w:val="0"/>
          <w:bCs w:val="0"/>
          <w:color w:val="000000"/>
          <w:kern w:val="0"/>
          <w:sz w:val="28"/>
          <w:szCs w:val="28"/>
          <w:lang w:eastAsia="zh-CN"/>
        </w:rPr>
      </w:pPr>
      <w:r>
        <w:rPr>
          <w:rFonts w:hint="eastAsia" w:cs="Times New Roman"/>
          <w:b w:val="0"/>
          <w:bCs w:val="0"/>
          <w:color w:val="000000"/>
          <w:kern w:val="0"/>
          <w:sz w:val="28"/>
          <w:szCs w:val="28"/>
          <w:lang w:eastAsia="zh-CN"/>
        </w:rPr>
        <w:t>报价包含设备对接到系统中产生的费用。</w:t>
      </w:r>
    </w:p>
    <w:p w14:paraId="7AFD45E6">
      <w:pPr>
        <w:pStyle w:val="18"/>
        <w:widowControl/>
        <w:numPr>
          <w:ilvl w:val="0"/>
          <w:numId w:val="0"/>
        </w:numPr>
        <w:wordWrap w:val="0"/>
        <w:rPr>
          <w:rFonts w:hint="eastAsia" w:ascii="宋体" w:hAnsi="宋体" w:eastAsia="宋体" w:cs="Times New Roman"/>
          <w:b w:val="0"/>
          <w:bCs w:val="0"/>
          <w:color w:val="000000"/>
          <w:kern w:val="0"/>
          <w:sz w:val="28"/>
          <w:szCs w:val="28"/>
          <w:lang w:eastAsia="zh-CN"/>
        </w:rPr>
      </w:pPr>
      <w:r>
        <w:rPr>
          <w:rFonts w:hint="eastAsia" w:ascii="宋体" w:hAnsi="宋体" w:eastAsia="宋体" w:cs="Times New Roman"/>
          <w:b w:val="0"/>
          <w:bCs w:val="0"/>
          <w:color w:val="000000"/>
          <w:kern w:val="0"/>
          <w:sz w:val="28"/>
          <w:szCs w:val="28"/>
        </w:rPr>
        <w:t>5.2 报价要求</w:t>
      </w:r>
    </w:p>
    <w:p w14:paraId="51A36B8D">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供应商须提供以下分项报价清单：</w:t>
      </w:r>
    </w:p>
    <w:p w14:paraId="41FD0EBE">
      <w:pPr>
        <w:pStyle w:val="18"/>
        <w:widowControl/>
        <w:numPr>
          <w:ilvl w:val="0"/>
          <w:numId w:val="0"/>
        </w:numPr>
        <w:wordWrap w:val="0"/>
        <w:rPr>
          <w:rFonts w:hint="eastAsia" w:ascii="宋体" w:hAnsi="宋体" w:eastAsia="宋体" w:cs="Times New Roman"/>
          <w:b w:val="0"/>
          <w:bCs w:val="0"/>
          <w:color w:val="000000"/>
          <w:kern w:val="0"/>
          <w:sz w:val="28"/>
          <w:szCs w:val="28"/>
        </w:rPr>
      </w:pPr>
    </w:p>
    <w:tbl>
      <w:tblPr>
        <w:tblStyle w:val="21"/>
        <w:tblpPr w:leftFromText="180" w:rightFromText="180" w:vertAnchor="text" w:horzAnchor="page" w:tblpX="1406" w:tblpY="169"/>
        <w:tblOverlap w:val="never"/>
        <w:tblW w:w="99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70"/>
        <w:gridCol w:w="909"/>
        <w:gridCol w:w="832"/>
        <w:gridCol w:w="865"/>
        <w:gridCol w:w="1280"/>
        <w:gridCol w:w="1400"/>
        <w:gridCol w:w="1400"/>
      </w:tblGrid>
      <w:tr w14:paraId="7830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BE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09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4785">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数量</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54AE">
            <w:pPr>
              <w:keepNext w:val="0"/>
              <w:keepLines w:val="0"/>
              <w:widowControl/>
              <w:suppressLineNumbers w:val="0"/>
              <w:tabs>
                <w:tab w:val="left" w:pos="246"/>
              </w:tabs>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品牌</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E376">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型号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44F2">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单价（元）</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D580">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总价（元）</w:t>
            </w:r>
          </w:p>
        </w:tc>
      </w:tr>
      <w:tr w14:paraId="7E448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5F5E">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24口接入交换机</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67E4">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4454">
            <w:pPr>
              <w:keepNext w:val="0"/>
              <w:keepLines w:val="0"/>
              <w:widowControl/>
              <w:suppressLineNumbers w:val="0"/>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B0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2170">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7FFD">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AB43">
            <w:pPr>
              <w:jc w:val="center"/>
              <w:rPr>
                <w:rFonts w:hint="eastAsia" w:ascii="宋体" w:hAnsi="宋体" w:eastAsia="宋体" w:cs="宋体"/>
                <w:i w:val="0"/>
                <w:iCs w:val="0"/>
                <w:color w:val="000000"/>
                <w:sz w:val="28"/>
                <w:szCs w:val="28"/>
                <w:u w:val="none"/>
              </w:rPr>
            </w:pPr>
          </w:p>
        </w:tc>
      </w:tr>
      <w:tr w14:paraId="4A3D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F8A3">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48口接入交换机</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3E8F">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DF3D">
            <w:pPr>
              <w:keepNext w:val="0"/>
              <w:keepLines w:val="0"/>
              <w:widowControl/>
              <w:suppressLineNumbers w:val="0"/>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4</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96D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A180">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192E">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48DB">
            <w:pPr>
              <w:jc w:val="center"/>
              <w:rPr>
                <w:rFonts w:hint="eastAsia" w:ascii="宋体" w:hAnsi="宋体" w:eastAsia="宋体" w:cs="宋体"/>
                <w:i w:val="0"/>
                <w:iCs w:val="0"/>
                <w:color w:val="000000"/>
                <w:sz w:val="28"/>
                <w:szCs w:val="28"/>
                <w:u w:val="none"/>
              </w:rPr>
            </w:pPr>
          </w:p>
        </w:tc>
      </w:tr>
      <w:tr w14:paraId="4217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CD0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24口万兆光口板卡</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BB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2150">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B8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8AD8">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D2D5">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07C4">
            <w:pPr>
              <w:jc w:val="center"/>
              <w:rPr>
                <w:rFonts w:hint="eastAsia" w:ascii="宋体" w:hAnsi="宋体" w:eastAsia="宋体" w:cs="宋体"/>
                <w:i w:val="0"/>
                <w:iCs w:val="0"/>
                <w:color w:val="000000"/>
                <w:sz w:val="28"/>
                <w:szCs w:val="28"/>
                <w:u w:val="none"/>
              </w:rPr>
            </w:pPr>
          </w:p>
        </w:tc>
      </w:tr>
      <w:tr w14:paraId="65280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DF4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万兆单模光模块</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4979">
            <w:pPr>
              <w:jc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1A01">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769C">
            <w:pPr>
              <w:jc w:val="center"/>
              <w:rPr>
                <w:rFonts w:hint="eastAsia" w:ascii="宋体" w:hAnsi="宋体" w:eastAsia="宋体" w:cs="宋体"/>
                <w:i w:val="0"/>
                <w:iCs w:val="0"/>
                <w:color w:val="000000"/>
                <w:sz w:val="28"/>
                <w:szCs w:val="28"/>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AF00">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BDA5">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E51E">
            <w:pPr>
              <w:jc w:val="center"/>
              <w:rPr>
                <w:rFonts w:hint="eastAsia" w:ascii="宋体" w:hAnsi="宋体" w:eastAsia="宋体" w:cs="宋体"/>
                <w:i w:val="0"/>
                <w:iCs w:val="0"/>
                <w:color w:val="000000"/>
                <w:sz w:val="28"/>
                <w:szCs w:val="28"/>
                <w:u w:val="none"/>
              </w:rPr>
            </w:pPr>
          </w:p>
        </w:tc>
      </w:tr>
      <w:tr w14:paraId="1EBCB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1D0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万兆多模光模块</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F704">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项</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0D2E">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50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91D3">
            <w:pPr>
              <w:jc w:val="center"/>
              <w:rPr>
                <w:rFonts w:hint="eastAsia" w:ascii="宋体" w:hAnsi="宋体" w:eastAsia="宋体" w:cs="宋体"/>
                <w:i w:val="0"/>
                <w:iCs w:val="0"/>
                <w:color w:val="000000"/>
                <w:sz w:val="28"/>
                <w:szCs w:val="28"/>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A89F">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96AD">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5BD1">
            <w:pPr>
              <w:jc w:val="center"/>
              <w:rPr>
                <w:rFonts w:hint="eastAsia" w:ascii="宋体" w:hAnsi="宋体" w:eastAsia="宋体" w:cs="宋体"/>
                <w:i w:val="0"/>
                <w:iCs w:val="0"/>
                <w:color w:val="000000"/>
                <w:sz w:val="28"/>
                <w:szCs w:val="28"/>
                <w:u w:val="none"/>
              </w:rPr>
            </w:pPr>
          </w:p>
        </w:tc>
      </w:tr>
      <w:tr w14:paraId="601E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79B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合计</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F391">
            <w:pPr>
              <w:jc w:val="center"/>
              <w:rPr>
                <w:rFonts w:hint="eastAsia" w:ascii="宋体" w:hAnsi="宋体" w:eastAsia="宋体" w:cs="宋体"/>
                <w:i w:val="0"/>
                <w:iCs w:val="0"/>
                <w:color w:val="000000"/>
                <w:sz w:val="28"/>
                <w:szCs w:val="28"/>
                <w:u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CEE4">
            <w:pPr>
              <w:jc w:val="center"/>
              <w:rPr>
                <w:rFonts w:hint="eastAsia" w:ascii="宋体" w:hAnsi="宋体" w:eastAsia="宋体" w:cs="宋体"/>
                <w:i w:val="0"/>
                <w:iCs w:val="0"/>
                <w:color w:val="000000"/>
                <w:sz w:val="28"/>
                <w:szCs w:val="28"/>
                <w:u w:val="none"/>
                <w:lang w:val="en-US" w:eastAsia="zh-CN"/>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F1E8">
            <w:pPr>
              <w:jc w:val="center"/>
              <w:rPr>
                <w:rFonts w:hint="eastAsia" w:ascii="宋体" w:hAnsi="宋体" w:eastAsia="宋体" w:cs="宋体"/>
                <w:i w:val="0"/>
                <w:iCs w:val="0"/>
                <w:color w:val="000000"/>
                <w:sz w:val="28"/>
                <w:szCs w:val="28"/>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CE3F">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1D07">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85B8">
            <w:pPr>
              <w:jc w:val="center"/>
              <w:rPr>
                <w:rFonts w:hint="eastAsia" w:ascii="宋体" w:hAnsi="宋体" w:eastAsia="宋体" w:cs="宋体"/>
                <w:i w:val="0"/>
                <w:iCs w:val="0"/>
                <w:color w:val="000000"/>
                <w:sz w:val="28"/>
                <w:szCs w:val="28"/>
                <w:u w:val="none"/>
              </w:rPr>
            </w:pPr>
          </w:p>
        </w:tc>
      </w:tr>
    </w:tbl>
    <w:p w14:paraId="7F066FFE">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分项报价，按需供货</w:t>
      </w:r>
    </w:p>
    <w:p w14:paraId="63020A32">
      <w:pPr>
        <w:pStyle w:val="18"/>
        <w:widowControl/>
        <w:numPr>
          <w:ilvl w:val="0"/>
          <w:numId w:val="0"/>
        </w:numPr>
        <w:wordWrap w:val="0"/>
        <w:rPr>
          <w:rFonts w:hint="eastAsia" w:ascii="宋体" w:hAnsi="宋体" w:eastAsia="宋体" w:cs="Times New Roman"/>
          <w:b/>
          <w:bCs/>
          <w:color w:val="000000"/>
          <w:kern w:val="0"/>
          <w:sz w:val="28"/>
          <w:szCs w:val="28"/>
        </w:rPr>
      </w:pPr>
      <w:r>
        <w:rPr>
          <w:rFonts w:hint="eastAsia" w:cs="Times New Roman"/>
          <w:b/>
          <w:bCs/>
          <w:color w:val="000000"/>
          <w:kern w:val="0"/>
          <w:sz w:val="28"/>
          <w:szCs w:val="28"/>
          <w:lang w:eastAsia="zh-CN"/>
        </w:rPr>
        <w:t>五、</w:t>
      </w:r>
      <w:r>
        <w:rPr>
          <w:rFonts w:hint="eastAsia" w:ascii="宋体" w:hAnsi="宋体" w:eastAsia="宋体" w:cs="Times New Roman"/>
          <w:b/>
          <w:bCs/>
          <w:color w:val="000000"/>
          <w:kern w:val="0"/>
          <w:sz w:val="28"/>
          <w:szCs w:val="28"/>
        </w:rPr>
        <w:t>投标文件要求</w:t>
      </w:r>
    </w:p>
    <w:p w14:paraId="0881EF5C">
      <w:pPr>
        <w:pStyle w:val="18"/>
        <w:widowControl/>
        <w:numPr>
          <w:ilvl w:val="0"/>
          <w:numId w:val="2"/>
        </w:numPr>
        <w:wordWrap w:val="0"/>
        <w:ind w:left="425" w:leftChars="0" w:hanging="425" w:firstLineChars="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营业执照复印件（加盖公章）；</w:t>
      </w:r>
    </w:p>
    <w:p w14:paraId="52FEC52E">
      <w:pPr>
        <w:pStyle w:val="18"/>
        <w:widowControl/>
        <w:numPr>
          <w:ilvl w:val="0"/>
          <w:numId w:val="2"/>
        </w:numPr>
        <w:wordWrap w:val="0"/>
        <w:ind w:left="425" w:leftChars="0" w:hanging="425" w:firstLineChars="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产品检测报告、软件著作权证书等相关资质文件；</w:t>
      </w:r>
    </w:p>
    <w:p w14:paraId="6F43DB00">
      <w:pPr>
        <w:pStyle w:val="18"/>
        <w:widowControl/>
        <w:numPr>
          <w:ilvl w:val="0"/>
          <w:numId w:val="2"/>
        </w:numPr>
        <w:wordWrap w:val="0"/>
        <w:ind w:left="425" w:leftChars="0" w:hanging="425" w:firstLineChars="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售后服务承诺函（明确响应时间、服务内容、联系方式）；</w:t>
      </w:r>
    </w:p>
    <w:p w14:paraId="6A73927A">
      <w:pPr>
        <w:pStyle w:val="18"/>
        <w:widowControl/>
        <w:numPr>
          <w:ilvl w:val="0"/>
          <w:numId w:val="2"/>
        </w:numPr>
        <w:wordWrap w:val="0"/>
        <w:ind w:left="425" w:leftChars="0" w:hanging="425" w:firstLineChars="0"/>
        <w:rPr>
          <w:rFonts w:hint="eastAsia" w:ascii="宋体" w:hAnsi="宋体" w:eastAsia="宋体" w:cs="Times New Roman"/>
          <w:b/>
          <w:bCs/>
          <w:color w:val="000000"/>
          <w:kern w:val="0"/>
          <w:sz w:val="28"/>
          <w:szCs w:val="28"/>
          <w:lang w:val="en-US" w:eastAsia="zh-CN"/>
        </w:rPr>
      </w:pPr>
      <w:r>
        <w:rPr>
          <w:rFonts w:hint="eastAsia" w:ascii="宋体" w:hAnsi="宋体" w:eastAsia="宋体" w:cs="Times New Roman"/>
          <w:b w:val="0"/>
          <w:bCs w:val="0"/>
          <w:color w:val="000000"/>
          <w:kern w:val="0"/>
          <w:sz w:val="28"/>
          <w:szCs w:val="28"/>
        </w:rPr>
        <w:t>完整的报价清单及项目实施方案。</w:t>
      </w:r>
    </w:p>
    <w:p w14:paraId="21AC9E5A">
      <w:pPr>
        <w:pStyle w:val="18"/>
        <w:widowControl/>
        <w:numPr>
          <w:ilvl w:val="0"/>
          <w:numId w:val="2"/>
        </w:numPr>
        <w:wordWrap w:val="0"/>
        <w:ind w:left="425" w:leftChars="0" w:hanging="425" w:firstLineChars="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所有质保服务必须由原厂认证工程师提供。</w:t>
      </w:r>
    </w:p>
    <w:p w14:paraId="002B9CA2">
      <w:pPr>
        <w:pStyle w:val="18"/>
        <w:widowControl/>
        <w:numPr>
          <w:ilvl w:val="0"/>
          <w:numId w:val="2"/>
        </w:numPr>
        <w:wordWrap w:val="0"/>
        <w:ind w:left="425" w:leftChars="0" w:hanging="425" w:firstLineChars="0"/>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供应商须在投标文件中提供详细内容的《售后服务承诺函》，明确出保后维保费收费标准，并加盖公章。</w:t>
      </w:r>
      <w:bookmarkStart w:id="2" w:name="ref_2"/>
      <w:bookmarkEnd w:id="2"/>
    </w:p>
    <w:p w14:paraId="057FB6B1">
      <w:pPr>
        <w:pStyle w:val="18"/>
        <w:widowControl/>
        <w:numPr>
          <w:ilvl w:val="0"/>
          <w:numId w:val="0"/>
        </w:numPr>
        <w:wordWrap w:val="0"/>
        <w:rPr>
          <w:rFonts w:hint="eastAsia" w:asciiTheme="minorHAnsi" w:hAnsiTheme="minorHAnsi" w:eastAsiaTheme="minorEastAsia" w:cstheme="minorBidi"/>
          <w:b w:val="0"/>
          <w:color w:val="auto"/>
          <w:kern w:val="2"/>
          <w:sz w:val="28"/>
          <w:szCs w:val="28"/>
          <w:lang w:val="en-US" w:eastAsia="zh-CN" w:bidi="ar-SA"/>
        </w:rPr>
      </w:pPr>
    </w:p>
    <w:sectPr>
      <w:headerReference r:id="rId3" w:type="default"/>
      <w:footerReference r:id="rId4" w:type="default"/>
      <w:pgSz w:w="11906" w:h="16838"/>
      <w:pgMar w:top="1440" w:right="1440" w:bottom="144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95E3E">
    <w:pPr>
      <w:pStyle w:val="1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3752215</wp:posOffset>
              </wp:positionH>
              <wp:positionV relativeFrom="page">
                <wp:posOffset>9933305</wp:posOffset>
              </wp:positionV>
              <wp:extent cx="57150" cy="127000"/>
              <wp:effectExtent l="0" t="0" r="0" b="0"/>
              <wp:wrapNone/>
              <wp:docPr id="101" name="文本框 3"/>
              <wp:cNvGraphicFramePr/>
              <a:graphic xmlns:a="http://schemas.openxmlformats.org/drawingml/2006/main">
                <a:graphicData uri="http://schemas.microsoft.com/office/word/2010/wordprocessingShape">
                  <wps:wsp>
                    <wps:cNvSpPr txBox="1"/>
                    <wps:spPr>
                      <a:xfrm>
                        <a:off x="0" y="0"/>
                        <a:ext cx="57150" cy="127000"/>
                      </a:xfrm>
                      <a:prstGeom prst="rect">
                        <a:avLst/>
                      </a:prstGeom>
                      <a:noFill/>
                      <a:ln>
                        <a:noFill/>
                      </a:ln>
                      <a:effectLst/>
                    </wps:spPr>
                    <wps:txbx>
                      <w:txbxContent>
                        <w:p w14:paraId="041BE986">
                          <w:pPr>
                            <w:spacing w:line="199" w:lineRule="exact"/>
                            <w:rPr>
                              <w:rFonts w:ascii="Times New Roman"/>
                              <w:sz w:val="18"/>
                            </w:rPr>
                          </w:pPr>
                          <w:r>
                            <w:rPr>
                              <w:rFonts w:ascii="Times New Roman"/>
                              <w:sz w:val="18"/>
                            </w:rPr>
                            <w:t>1</w:t>
                          </w:r>
                        </w:p>
                      </w:txbxContent>
                    </wps:txbx>
                    <wps:bodyPr lIns="0" tIns="0" rIns="0" bIns="0" upright="1"/>
                  </wps:wsp>
                </a:graphicData>
              </a:graphic>
            </wp:anchor>
          </w:drawing>
        </mc:Choice>
        <mc:Fallback>
          <w:pict>
            <v:shape id="文本框 3" o:spid="_x0000_s1026" o:spt="202" type="#_x0000_t202" style="position:absolute;left:0pt;margin-left:295.45pt;margin-top:782.15pt;height:10pt;width:4.5pt;mso-position-horizontal-relative:page;mso-position-vertical-relative:page;z-index:-251655168;mso-width-relative:page;mso-height-relative:page;" filled="f" stroked="f" coordsize="21600,21600" o:gfxdata="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fX6IrZAAAADQEAAA8AAAAAAAAAAQAgAAAAIgAAAGRycy9kb3ducmV2Lnht&#10;bFBLAQIUABQAAAAIAIdO4kAnv+B5vwEAAIADAAAOAAAAAAAAAAEAIAAAACgBAABkcnMvZTJvRG9j&#10;LnhtbFBLBQYAAAAABgAGAFkBAABZBQAAAAA=&#10;">
              <v:fill on="f" focussize="0,0"/>
              <v:stroke on="f"/>
              <v:imagedata o:title=""/>
              <o:lock v:ext="edit" aspectratio="f"/>
              <v:textbox inset="0mm,0mm,0mm,0mm">
                <w:txbxContent>
                  <w:p w14:paraId="041BE986">
                    <w:pPr>
                      <w:spacing w:line="199" w:lineRule="exact"/>
                      <w:rPr>
                        <w:rFonts w:ascii="Times New Roman"/>
                        <w:sz w:val="18"/>
                      </w:rPr>
                    </w:pPr>
                    <w:r>
                      <w:rPr>
                        <w:rFonts w:ascii="Times New Roman"/>
                        <w:sz w:val="18"/>
                      </w:rPr>
                      <w:t>1</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3780790</wp:posOffset>
              </wp:positionH>
              <wp:positionV relativeFrom="page">
                <wp:posOffset>9932670</wp:posOffset>
              </wp:positionV>
              <wp:extent cx="0" cy="130810"/>
              <wp:effectExtent l="27940" t="0" r="29210" b="2540"/>
              <wp:wrapNone/>
              <wp:docPr id="102" name="直线 4"/>
              <wp:cNvGraphicFramePr/>
              <a:graphic xmlns:a="http://schemas.openxmlformats.org/drawingml/2006/main">
                <a:graphicData uri="http://schemas.microsoft.com/office/word/2010/wordprocessingShape">
                  <wps:wsp>
                    <wps:cNvCnPr/>
                    <wps:spPr>
                      <a:xfrm>
                        <a:off x="0" y="0"/>
                        <a:ext cx="0" cy="130810"/>
                      </a:xfrm>
                      <a:prstGeom prst="line">
                        <a:avLst/>
                      </a:prstGeom>
                      <a:ln w="56388" cap="flat" cmpd="sng">
                        <a:solidFill>
                          <a:srgbClr val="FFFFFF"/>
                        </a:solidFill>
                        <a:prstDash val="solid"/>
                        <a:headEnd type="none" w="med" len="med"/>
                        <a:tailEnd type="none" w="med" len="med"/>
                      </a:ln>
                      <a:effectLst/>
                    </wps:spPr>
                    <wps:bodyPr/>
                  </wps:wsp>
                </a:graphicData>
              </a:graphic>
            </wp:anchor>
          </w:drawing>
        </mc:Choice>
        <mc:Fallback>
          <w:pict>
            <v:line id="直线 4" o:spid="_x0000_s1026" o:spt="20" style="position:absolute;left:0pt;margin-left:297.7pt;margin-top:782.1pt;height:10.3pt;width:0pt;mso-position-horizontal-relative:page;mso-position-vertical-relative:page;z-index:-251654144;mso-width-relative:page;mso-height-relative:page;" filled="f" stroked="t" coordsize="21600,21600" o:gfxdata="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rI&#10;Ob3bAAAADQEAAA8AAAAAAAAAAQAgAAAAIgAAAGRycy9kb3ducmV2LnhtbFBLAQIUABQAAAAIAIdO&#10;4kATo9tV5wEAAN8DAAAOAAAAAAAAAAEAIAAAACoBAABkcnMvZTJvRG9jLnhtbFBLBQYAAAAABgAG&#10;AFkBAACDBQAAAAA=&#10;">
              <v:fill on="f" focussize="0,0"/>
              <v:stroke weight="4.44pt" color="#FFFFFF" joinstyle="round"/>
              <v:imagedata o:title=""/>
              <o:lock v:ext="edit" aspectratio="f"/>
            </v:lin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3643630</wp:posOffset>
              </wp:positionH>
              <wp:positionV relativeFrom="page">
                <wp:posOffset>9920605</wp:posOffset>
              </wp:positionV>
              <wp:extent cx="274320" cy="153670"/>
              <wp:effectExtent l="0" t="0" r="0" b="0"/>
              <wp:wrapNone/>
              <wp:docPr id="103" name="文本框 5"/>
              <wp:cNvGraphicFramePr/>
              <a:graphic xmlns:a="http://schemas.openxmlformats.org/drawingml/2006/main">
                <a:graphicData uri="http://schemas.microsoft.com/office/word/2010/wordprocessingShape">
                  <wps:wsp>
                    <wps:cNvSpPr txBox="1"/>
                    <wps:spPr>
                      <a:xfrm>
                        <a:off x="0" y="0"/>
                        <a:ext cx="274320" cy="153670"/>
                      </a:xfrm>
                      <a:prstGeom prst="rect">
                        <a:avLst/>
                      </a:prstGeom>
                      <a:noFill/>
                      <a:ln>
                        <a:noFill/>
                      </a:ln>
                      <a:effectLst/>
                    </wps:spPr>
                    <wps:txbx>
                      <w:txbxContent>
                        <w:p w14:paraId="5119F4FE">
                          <w:pPr>
                            <w:spacing w:before="14"/>
                            <w:ind w:left="2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- 2 -</w:t>
                          </w:r>
                          <w:r>
                            <w:fldChar w:fldCharType="end"/>
                          </w:r>
                        </w:p>
                      </w:txbxContent>
                    </wps:txbx>
                    <wps:bodyPr lIns="0" tIns="0" rIns="0" bIns="0" upright="1"/>
                  </wps:wsp>
                </a:graphicData>
              </a:graphic>
            </wp:anchor>
          </w:drawing>
        </mc:Choice>
        <mc:Fallback>
          <w:pict>
            <v:shape id="文本框 5" o:spid="_x0000_s1026" o:spt="202" type="#_x0000_t202" style="position:absolute;left:0pt;margin-left:286.9pt;margin-top:781.15pt;height:12.1pt;width:21.6pt;mso-position-horizontal-relative:page;mso-position-vertical-relative:page;z-index:-251653120;mso-width-relative:page;mso-height-relative:page;" filled="f" stroked="f" coordsize="21600,21600" o:gfxdata="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NirBA2wAAAA0BAAAPAAAAAAAAAAEAIAAAACIAAABkcnMvZG93bnJl&#10;di54bWxQSwECFAAUAAAACACHTuJAQ8XiT8EBAACBAwAADgAAAAAAAAABACAAAAAqAQAAZHJzL2Uy&#10;b0RvYy54bWxQSwUGAAAAAAYABgBZAQAAXQUAAAAA&#10;">
              <v:fill on="f" focussize="0,0"/>
              <v:stroke on="f"/>
              <v:imagedata o:title=""/>
              <o:lock v:ext="edit" aspectratio="f"/>
              <v:textbox inset="0mm,0mm,0mm,0mm">
                <w:txbxContent>
                  <w:p w14:paraId="5119F4FE">
                    <w:pPr>
                      <w:spacing w:before="14"/>
                      <w:ind w:left="2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6D809">
    <w:pPr>
      <w:pStyle w:val="1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544195</wp:posOffset>
              </wp:positionV>
              <wp:extent cx="1625600" cy="139700"/>
              <wp:effectExtent l="0" t="0" r="0" b="0"/>
              <wp:wrapNone/>
              <wp:docPr id="99" name="文本框 1"/>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32A8CAEA">
                          <w:pPr>
                            <w:spacing w:line="220" w:lineRule="exact"/>
                            <w:rPr>
                              <w:sz w:val="18"/>
                            </w:rPr>
                          </w:pPr>
                        </w:p>
                      </w:txbxContent>
                    </wps:txbx>
                    <wps:bodyPr lIns="0" tIns="0" rIns="0" bIns="0" upright="1"/>
                  </wps:wsp>
                </a:graphicData>
              </a:graphic>
            </wp:anchor>
          </w:drawing>
        </mc:Choice>
        <mc:Fallback>
          <w:pict>
            <v:shape id="文本框 1" o:spid="_x0000_s1026" o:spt="202" type="#_x0000_t202" style="position:absolute;left:0pt;margin-left:89pt;margin-top:42.85pt;height:11pt;width:128pt;mso-position-horizontal-relative:page;mso-position-vertical-relative:page;z-index:-251657216;mso-width-relative:page;mso-height-relative:page;" filled="f" stroked="f" coordsize="21600,21600" o:gfxdata="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xoKCtgAAAAKAQAADwAAAAAAAAABACAAAAAiAAAAZHJzL2Rvd25yZXYueG1s&#10;UEsBAhQAFAAAAAgAh07iQNpwPpu/AQAAgQMAAA4AAAAAAAAAAQAgAAAAJwEAAGRycy9lMm9Eb2Mu&#10;eG1sUEsFBgAAAAAGAAYAWQEAAFgFAAAAAA==&#10;">
              <v:fill on="f" focussize="0,0"/>
              <v:stroke on="f"/>
              <v:imagedata o:title=""/>
              <o:lock v:ext="edit" aspectratio="f"/>
              <v:textbox inset="0mm,0mm,0mm,0mm">
                <w:txbxContent>
                  <w:p w14:paraId="32A8CAEA">
                    <w:pPr>
                      <w:spacing w:line="220" w:lineRule="exact"/>
                      <w:rPr>
                        <w:sz w:val="18"/>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5475605</wp:posOffset>
              </wp:positionH>
              <wp:positionV relativeFrom="page">
                <wp:posOffset>540385</wp:posOffset>
              </wp:positionV>
              <wp:extent cx="845185" cy="152400"/>
              <wp:effectExtent l="0" t="0" r="0" b="0"/>
              <wp:wrapNone/>
              <wp:docPr id="100" name="文本框 2"/>
              <wp:cNvGraphicFramePr/>
              <a:graphic xmlns:a="http://schemas.openxmlformats.org/drawingml/2006/main">
                <a:graphicData uri="http://schemas.microsoft.com/office/word/2010/wordprocessingShape">
                  <wps:wsp>
                    <wps:cNvSpPr txBox="1"/>
                    <wps:spPr>
                      <a:xfrm>
                        <a:off x="0" y="0"/>
                        <a:ext cx="845185" cy="152400"/>
                      </a:xfrm>
                      <a:prstGeom prst="rect">
                        <a:avLst/>
                      </a:prstGeom>
                      <a:noFill/>
                      <a:ln>
                        <a:noFill/>
                      </a:ln>
                      <a:effectLst/>
                    </wps:spPr>
                    <wps:txbx>
                      <w:txbxContent>
                        <w:p w14:paraId="45D5EB35">
                          <w:pPr>
                            <w:spacing w:before="12"/>
                            <w:rPr>
                              <w:sz w:val="18"/>
                            </w:rPr>
                          </w:pPr>
                        </w:p>
                      </w:txbxContent>
                    </wps:txbx>
                    <wps:bodyPr lIns="0" tIns="0" rIns="0" bIns="0" upright="1"/>
                  </wps:wsp>
                </a:graphicData>
              </a:graphic>
            </wp:anchor>
          </w:drawing>
        </mc:Choice>
        <mc:Fallback>
          <w:pict>
            <v:shape id="文本框 2" o:spid="_x0000_s1026" o:spt="202" type="#_x0000_t202" style="position:absolute;left:0pt;margin-left:431.15pt;margin-top:42.55pt;height:12pt;width:66.55pt;mso-position-horizontal-relative:page;mso-position-vertical-relative:page;z-index:-251656192;mso-width-relative:page;mso-height-relative:page;" filled="f" stroked="f" coordsize="21600,21600" o:gfxdata="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rCDLfZAAAACgEAAA8AAAAAAAAAAQAgAAAAIgAAAGRycy9kb3ducmV2Lnht&#10;bFBLAQIUABQAAAAIAIdO4kDp7ocovwEAAIEDAAAOAAAAAAAAAAEAIAAAACgBAABkcnMvZTJvRG9j&#10;LnhtbFBLBQYAAAAABgAGAFkBAABZBQAAAAA=&#10;">
              <v:fill on="f" focussize="0,0"/>
              <v:stroke on="f"/>
              <v:imagedata o:title=""/>
              <o:lock v:ext="edit" aspectratio="f"/>
              <v:textbox inset="0mm,0mm,0mm,0mm">
                <w:txbxContent>
                  <w:p w14:paraId="45D5EB35">
                    <w:pPr>
                      <w:spacing w:before="12"/>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A65B0B"/>
    <w:multiLevelType w:val="multilevel"/>
    <w:tmpl w:val="CDA65B0B"/>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283"/>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56243A1"/>
    <w:multiLevelType w:val="singleLevel"/>
    <w:tmpl w:val="D56243A1"/>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4ZDc2ZWZjMDg2MTg3MmI2YmIxN2Y0OGJlMjIyMjMifQ=="/>
  </w:docVars>
  <w:rsids>
    <w:rsidRoot w:val="00172A27"/>
    <w:rsid w:val="00000811"/>
    <w:rsid w:val="000032B5"/>
    <w:rsid w:val="0001136F"/>
    <w:rsid w:val="000160DA"/>
    <w:rsid w:val="00032601"/>
    <w:rsid w:val="00046499"/>
    <w:rsid w:val="00087033"/>
    <w:rsid w:val="00087EF0"/>
    <w:rsid w:val="000A10C4"/>
    <w:rsid w:val="000A28B0"/>
    <w:rsid w:val="000A74DB"/>
    <w:rsid w:val="000C3672"/>
    <w:rsid w:val="000C46FD"/>
    <w:rsid w:val="000E6DC9"/>
    <w:rsid w:val="000F73E5"/>
    <w:rsid w:val="00117656"/>
    <w:rsid w:val="0014559F"/>
    <w:rsid w:val="0014580A"/>
    <w:rsid w:val="001519E5"/>
    <w:rsid w:val="00172A27"/>
    <w:rsid w:val="00192562"/>
    <w:rsid w:val="00192A4A"/>
    <w:rsid w:val="00195027"/>
    <w:rsid w:val="001A53B5"/>
    <w:rsid w:val="001B1CEB"/>
    <w:rsid w:val="001B736F"/>
    <w:rsid w:val="001C0434"/>
    <w:rsid w:val="001E5CB3"/>
    <w:rsid w:val="0020367F"/>
    <w:rsid w:val="002213F2"/>
    <w:rsid w:val="00252CDC"/>
    <w:rsid w:val="002627E6"/>
    <w:rsid w:val="00271BF8"/>
    <w:rsid w:val="00271E5D"/>
    <w:rsid w:val="00281DE0"/>
    <w:rsid w:val="002A6D13"/>
    <w:rsid w:val="002C1A19"/>
    <w:rsid w:val="002E2235"/>
    <w:rsid w:val="003020B1"/>
    <w:rsid w:val="00337BA1"/>
    <w:rsid w:val="00337BAA"/>
    <w:rsid w:val="00343046"/>
    <w:rsid w:val="00343627"/>
    <w:rsid w:val="003742F5"/>
    <w:rsid w:val="003744E7"/>
    <w:rsid w:val="00374B7C"/>
    <w:rsid w:val="003A1E4E"/>
    <w:rsid w:val="003A3472"/>
    <w:rsid w:val="003A6412"/>
    <w:rsid w:val="003C7888"/>
    <w:rsid w:val="00426CD8"/>
    <w:rsid w:val="004457B3"/>
    <w:rsid w:val="0045610E"/>
    <w:rsid w:val="004C162C"/>
    <w:rsid w:val="004C4481"/>
    <w:rsid w:val="004C7266"/>
    <w:rsid w:val="004D70E3"/>
    <w:rsid w:val="004E6FBE"/>
    <w:rsid w:val="005176CE"/>
    <w:rsid w:val="0052372C"/>
    <w:rsid w:val="005250CE"/>
    <w:rsid w:val="00534606"/>
    <w:rsid w:val="005400C7"/>
    <w:rsid w:val="0055681B"/>
    <w:rsid w:val="005805B9"/>
    <w:rsid w:val="005909CA"/>
    <w:rsid w:val="00594B65"/>
    <w:rsid w:val="005B7582"/>
    <w:rsid w:val="005D02F7"/>
    <w:rsid w:val="005D3F9A"/>
    <w:rsid w:val="005D55F6"/>
    <w:rsid w:val="005E0E2D"/>
    <w:rsid w:val="005E36D2"/>
    <w:rsid w:val="006016E9"/>
    <w:rsid w:val="006068E1"/>
    <w:rsid w:val="00654E1F"/>
    <w:rsid w:val="00655BE5"/>
    <w:rsid w:val="00687E5C"/>
    <w:rsid w:val="00695467"/>
    <w:rsid w:val="0069754A"/>
    <w:rsid w:val="006B4ECD"/>
    <w:rsid w:val="006C5265"/>
    <w:rsid w:val="006D2998"/>
    <w:rsid w:val="00713D0D"/>
    <w:rsid w:val="007660A0"/>
    <w:rsid w:val="00775D38"/>
    <w:rsid w:val="00787C81"/>
    <w:rsid w:val="007A18FB"/>
    <w:rsid w:val="007C6934"/>
    <w:rsid w:val="007D3D1B"/>
    <w:rsid w:val="007F55AC"/>
    <w:rsid w:val="00806383"/>
    <w:rsid w:val="00813130"/>
    <w:rsid w:val="00824AD2"/>
    <w:rsid w:val="00824CC3"/>
    <w:rsid w:val="008579C4"/>
    <w:rsid w:val="008720E5"/>
    <w:rsid w:val="00876477"/>
    <w:rsid w:val="00884A92"/>
    <w:rsid w:val="008A693C"/>
    <w:rsid w:val="008B2405"/>
    <w:rsid w:val="008D1FD9"/>
    <w:rsid w:val="008E2CD2"/>
    <w:rsid w:val="008F7DAE"/>
    <w:rsid w:val="0090675F"/>
    <w:rsid w:val="00944470"/>
    <w:rsid w:val="009544B4"/>
    <w:rsid w:val="009924E2"/>
    <w:rsid w:val="00996581"/>
    <w:rsid w:val="009C1DC2"/>
    <w:rsid w:val="009C67BE"/>
    <w:rsid w:val="009E28C4"/>
    <w:rsid w:val="009F4C3D"/>
    <w:rsid w:val="00A00050"/>
    <w:rsid w:val="00A21782"/>
    <w:rsid w:val="00A36011"/>
    <w:rsid w:val="00A82ACF"/>
    <w:rsid w:val="00AA3C95"/>
    <w:rsid w:val="00AA4DF9"/>
    <w:rsid w:val="00AD7490"/>
    <w:rsid w:val="00AF4985"/>
    <w:rsid w:val="00B079B7"/>
    <w:rsid w:val="00B131E9"/>
    <w:rsid w:val="00B44E3A"/>
    <w:rsid w:val="00B64FF6"/>
    <w:rsid w:val="00B678FD"/>
    <w:rsid w:val="00BB7CF1"/>
    <w:rsid w:val="00BD0844"/>
    <w:rsid w:val="00BD3A07"/>
    <w:rsid w:val="00BE60E7"/>
    <w:rsid w:val="00BE7BED"/>
    <w:rsid w:val="00C1716E"/>
    <w:rsid w:val="00C4197A"/>
    <w:rsid w:val="00C500CF"/>
    <w:rsid w:val="00C50EC1"/>
    <w:rsid w:val="00C6512A"/>
    <w:rsid w:val="00C75071"/>
    <w:rsid w:val="00CD1F34"/>
    <w:rsid w:val="00CE35D2"/>
    <w:rsid w:val="00CF123E"/>
    <w:rsid w:val="00CF4866"/>
    <w:rsid w:val="00D00017"/>
    <w:rsid w:val="00D02760"/>
    <w:rsid w:val="00D04324"/>
    <w:rsid w:val="00D048AE"/>
    <w:rsid w:val="00D04943"/>
    <w:rsid w:val="00D10053"/>
    <w:rsid w:val="00D22A6B"/>
    <w:rsid w:val="00D33BC3"/>
    <w:rsid w:val="00D353BC"/>
    <w:rsid w:val="00D514DA"/>
    <w:rsid w:val="00D557B0"/>
    <w:rsid w:val="00D90740"/>
    <w:rsid w:val="00DB20DE"/>
    <w:rsid w:val="00DD1C4B"/>
    <w:rsid w:val="00DD3B0F"/>
    <w:rsid w:val="00DE5AEA"/>
    <w:rsid w:val="00DF1691"/>
    <w:rsid w:val="00DF67CB"/>
    <w:rsid w:val="00E11D8E"/>
    <w:rsid w:val="00E545CC"/>
    <w:rsid w:val="00E5508E"/>
    <w:rsid w:val="00E93B68"/>
    <w:rsid w:val="00EA0A71"/>
    <w:rsid w:val="00EA1560"/>
    <w:rsid w:val="00ED73F9"/>
    <w:rsid w:val="00ED7606"/>
    <w:rsid w:val="00F0418C"/>
    <w:rsid w:val="00F60604"/>
    <w:rsid w:val="00F66005"/>
    <w:rsid w:val="00F7126D"/>
    <w:rsid w:val="00F82369"/>
    <w:rsid w:val="00F8293E"/>
    <w:rsid w:val="00F85C4D"/>
    <w:rsid w:val="00F87108"/>
    <w:rsid w:val="00F90416"/>
    <w:rsid w:val="00FD0D07"/>
    <w:rsid w:val="00FF2125"/>
    <w:rsid w:val="0126389F"/>
    <w:rsid w:val="01E675CC"/>
    <w:rsid w:val="02032FE7"/>
    <w:rsid w:val="0210549F"/>
    <w:rsid w:val="02190F8E"/>
    <w:rsid w:val="02284EF1"/>
    <w:rsid w:val="02F05969"/>
    <w:rsid w:val="03254E27"/>
    <w:rsid w:val="03547EE0"/>
    <w:rsid w:val="039667A9"/>
    <w:rsid w:val="03B7227C"/>
    <w:rsid w:val="040824AC"/>
    <w:rsid w:val="040C787B"/>
    <w:rsid w:val="04DC643E"/>
    <w:rsid w:val="04EC7CA1"/>
    <w:rsid w:val="04F03C97"/>
    <w:rsid w:val="051026CC"/>
    <w:rsid w:val="0576374F"/>
    <w:rsid w:val="05EC1ED7"/>
    <w:rsid w:val="06384E61"/>
    <w:rsid w:val="06400C90"/>
    <w:rsid w:val="0665037A"/>
    <w:rsid w:val="06B37672"/>
    <w:rsid w:val="06F35BF5"/>
    <w:rsid w:val="076F17EB"/>
    <w:rsid w:val="077C4592"/>
    <w:rsid w:val="07E179CC"/>
    <w:rsid w:val="07F55128"/>
    <w:rsid w:val="082A1146"/>
    <w:rsid w:val="08407119"/>
    <w:rsid w:val="088821BA"/>
    <w:rsid w:val="08A90D2D"/>
    <w:rsid w:val="090D39E7"/>
    <w:rsid w:val="0922463B"/>
    <w:rsid w:val="09552E52"/>
    <w:rsid w:val="09AC3331"/>
    <w:rsid w:val="0A0861E8"/>
    <w:rsid w:val="0A6F35B0"/>
    <w:rsid w:val="0A860446"/>
    <w:rsid w:val="0B8469CA"/>
    <w:rsid w:val="0BA92DF2"/>
    <w:rsid w:val="0BB85E5D"/>
    <w:rsid w:val="0BE96F8B"/>
    <w:rsid w:val="0C3923C8"/>
    <w:rsid w:val="0CB7328E"/>
    <w:rsid w:val="0CEA5470"/>
    <w:rsid w:val="0CEB10EF"/>
    <w:rsid w:val="0D9A44EF"/>
    <w:rsid w:val="0DB00467"/>
    <w:rsid w:val="0DB8731C"/>
    <w:rsid w:val="0DCD49E2"/>
    <w:rsid w:val="0DD73C46"/>
    <w:rsid w:val="0DDB59D7"/>
    <w:rsid w:val="0DEC6F9A"/>
    <w:rsid w:val="0E22306E"/>
    <w:rsid w:val="0E2A67ED"/>
    <w:rsid w:val="0E356BBF"/>
    <w:rsid w:val="0EA0246B"/>
    <w:rsid w:val="0F1B6FAF"/>
    <w:rsid w:val="0F940964"/>
    <w:rsid w:val="0FCD3553"/>
    <w:rsid w:val="10AE0A4F"/>
    <w:rsid w:val="11FA7497"/>
    <w:rsid w:val="12011292"/>
    <w:rsid w:val="12691013"/>
    <w:rsid w:val="12FD339F"/>
    <w:rsid w:val="13E37621"/>
    <w:rsid w:val="14616552"/>
    <w:rsid w:val="14680271"/>
    <w:rsid w:val="158C3DA3"/>
    <w:rsid w:val="158F4E06"/>
    <w:rsid w:val="15A12014"/>
    <w:rsid w:val="15F13700"/>
    <w:rsid w:val="16CA55CE"/>
    <w:rsid w:val="16D95AF6"/>
    <w:rsid w:val="171031B7"/>
    <w:rsid w:val="171509F9"/>
    <w:rsid w:val="175D3185"/>
    <w:rsid w:val="176B7CC8"/>
    <w:rsid w:val="17FF1B8F"/>
    <w:rsid w:val="1844012A"/>
    <w:rsid w:val="18AD2173"/>
    <w:rsid w:val="194B7042"/>
    <w:rsid w:val="195906B8"/>
    <w:rsid w:val="19642B69"/>
    <w:rsid w:val="198C4E1E"/>
    <w:rsid w:val="199F5A25"/>
    <w:rsid w:val="1AB772D9"/>
    <w:rsid w:val="1AC65778"/>
    <w:rsid w:val="1B40258D"/>
    <w:rsid w:val="1B7D7960"/>
    <w:rsid w:val="1C0A0424"/>
    <w:rsid w:val="1C347356"/>
    <w:rsid w:val="1CAC4FF0"/>
    <w:rsid w:val="1D4E2AE9"/>
    <w:rsid w:val="1D6B7F07"/>
    <w:rsid w:val="1D7170E9"/>
    <w:rsid w:val="1DAD174D"/>
    <w:rsid w:val="1E206F43"/>
    <w:rsid w:val="1EBF675C"/>
    <w:rsid w:val="1EDC6280"/>
    <w:rsid w:val="1F4020DC"/>
    <w:rsid w:val="201E6E23"/>
    <w:rsid w:val="2041049D"/>
    <w:rsid w:val="20BE6C76"/>
    <w:rsid w:val="20DC6910"/>
    <w:rsid w:val="213056EF"/>
    <w:rsid w:val="21722306"/>
    <w:rsid w:val="21C4406F"/>
    <w:rsid w:val="21DE0C9C"/>
    <w:rsid w:val="228C51A5"/>
    <w:rsid w:val="22D0173A"/>
    <w:rsid w:val="22DC0D72"/>
    <w:rsid w:val="238D3FD0"/>
    <w:rsid w:val="239A6E40"/>
    <w:rsid w:val="239E2F81"/>
    <w:rsid w:val="23C91E2B"/>
    <w:rsid w:val="248D0A22"/>
    <w:rsid w:val="24A03760"/>
    <w:rsid w:val="24B47844"/>
    <w:rsid w:val="255B2F57"/>
    <w:rsid w:val="255B4D05"/>
    <w:rsid w:val="25830689"/>
    <w:rsid w:val="26281DAA"/>
    <w:rsid w:val="26464434"/>
    <w:rsid w:val="277410C6"/>
    <w:rsid w:val="27A91D58"/>
    <w:rsid w:val="27D551E6"/>
    <w:rsid w:val="280B0C36"/>
    <w:rsid w:val="280E640F"/>
    <w:rsid w:val="280E7B49"/>
    <w:rsid w:val="286938B9"/>
    <w:rsid w:val="28814A67"/>
    <w:rsid w:val="288340F5"/>
    <w:rsid w:val="290224C2"/>
    <w:rsid w:val="292A511A"/>
    <w:rsid w:val="29C226A4"/>
    <w:rsid w:val="2A1D6A2D"/>
    <w:rsid w:val="2ADD659C"/>
    <w:rsid w:val="2B024ADB"/>
    <w:rsid w:val="2B7A2A7C"/>
    <w:rsid w:val="2C5F50DB"/>
    <w:rsid w:val="2C67306E"/>
    <w:rsid w:val="2CB01DE7"/>
    <w:rsid w:val="2CE756F9"/>
    <w:rsid w:val="2D58666D"/>
    <w:rsid w:val="2D7B39D1"/>
    <w:rsid w:val="2DB518D4"/>
    <w:rsid w:val="2E1F04ED"/>
    <w:rsid w:val="2E60513A"/>
    <w:rsid w:val="2E9E682F"/>
    <w:rsid w:val="2EC658E5"/>
    <w:rsid w:val="2FA92333"/>
    <w:rsid w:val="2FBB5237"/>
    <w:rsid w:val="3071686A"/>
    <w:rsid w:val="30BB46D0"/>
    <w:rsid w:val="30E1233D"/>
    <w:rsid w:val="3110132A"/>
    <w:rsid w:val="3129455C"/>
    <w:rsid w:val="313F30D0"/>
    <w:rsid w:val="31602E3A"/>
    <w:rsid w:val="317B3ADF"/>
    <w:rsid w:val="319770C5"/>
    <w:rsid w:val="31982E22"/>
    <w:rsid w:val="31B425B2"/>
    <w:rsid w:val="31F76B91"/>
    <w:rsid w:val="324E4320"/>
    <w:rsid w:val="32781B42"/>
    <w:rsid w:val="329F26D5"/>
    <w:rsid w:val="32EB68EF"/>
    <w:rsid w:val="335723D9"/>
    <w:rsid w:val="349B39B3"/>
    <w:rsid w:val="349E5840"/>
    <w:rsid w:val="34AC2E87"/>
    <w:rsid w:val="351B4E78"/>
    <w:rsid w:val="358F53D2"/>
    <w:rsid w:val="35C13D40"/>
    <w:rsid w:val="35EA0186"/>
    <w:rsid w:val="35F14FF3"/>
    <w:rsid w:val="362353CB"/>
    <w:rsid w:val="363C4601"/>
    <w:rsid w:val="367543ED"/>
    <w:rsid w:val="3687595A"/>
    <w:rsid w:val="36C216B1"/>
    <w:rsid w:val="36C4095C"/>
    <w:rsid w:val="375241BA"/>
    <w:rsid w:val="375C0B95"/>
    <w:rsid w:val="37DF6C05"/>
    <w:rsid w:val="381550C3"/>
    <w:rsid w:val="38210D36"/>
    <w:rsid w:val="38647981"/>
    <w:rsid w:val="38861F3D"/>
    <w:rsid w:val="38B71EA1"/>
    <w:rsid w:val="39776DA8"/>
    <w:rsid w:val="39833AA4"/>
    <w:rsid w:val="399B5BA1"/>
    <w:rsid w:val="39AF782D"/>
    <w:rsid w:val="39EB26A4"/>
    <w:rsid w:val="3A0D5042"/>
    <w:rsid w:val="3A7E52C6"/>
    <w:rsid w:val="3ADB3437"/>
    <w:rsid w:val="3B1A08AC"/>
    <w:rsid w:val="3B1A26FC"/>
    <w:rsid w:val="3C432323"/>
    <w:rsid w:val="3C8977A4"/>
    <w:rsid w:val="3CA73DD4"/>
    <w:rsid w:val="3CE22C01"/>
    <w:rsid w:val="3CE463EE"/>
    <w:rsid w:val="3DB9647C"/>
    <w:rsid w:val="3E9E7CE5"/>
    <w:rsid w:val="3F911F87"/>
    <w:rsid w:val="40107F45"/>
    <w:rsid w:val="405E66F9"/>
    <w:rsid w:val="40DC2D46"/>
    <w:rsid w:val="40F26BD1"/>
    <w:rsid w:val="412344D1"/>
    <w:rsid w:val="42096BC2"/>
    <w:rsid w:val="421C3FB6"/>
    <w:rsid w:val="425A03C6"/>
    <w:rsid w:val="42C76996"/>
    <w:rsid w:val="4340181D"/>
    <w:rsid w:val="435218EE"/>
    <w:rsid w:val="446A2746"/>
    <w:rsid w:val="44AA4C75"/>
    <w:rsid w:val="451A5327"/>
    <w:rsid w:val="45AD4CB1"/>
    <w:rsid w:val="46060DB7"/>
    <w:rsid w:val="4610442C"/>
    <w:rsid w:val="463C6086"/>
    <w:rsid w:val="469A5235"/>
    <w:rsid w:val="46D63D94"/>
    <w:rsid w:val="46EA4B2E"/>
    <w:rsid w:val="47592562"/>
    <w:rsid w:val="47F01CBA"/>
    <w:rsid w:val="47F153E0"/>
    <w:rsid w:val="48531B40"/>
    <w:rsid w:val="48653621"/>
    <w:rsid w:val="48AA0E8D"/>
    <w:rsid w:val="49046F7C"/>
    <w:rsid w:val="490F582F"/>
    <w:rsid w:val="4952561F"/>
    <w:rsid w:val="49896CF3"/>
    <w:rsid w:val="499F52CF"/>
    <w:rsid w:val="4A161077"/>
    <w:rsid w:val="4ADA4E63"/>
    <w:rsid w:val="4B0337D0"/>
    <w:rsid w:val="4B4C5E55"/>
    <w:rsid w:val="4B8E6E1B"/>
    <w:rsid w:val="4BB71ECD"/>
    <w:rsid w:val="4BC26F3C"/>
    <w:rsid w:val="4BC475B5"/>
    <w:rsid w:val="4C1531E0"/>
    <w:rsid w:val="4C35155C"/>
    <w:rsid w:val="4C90263D"/>
    <w:rsid w:val="4C960C6B"/>
    <w:rsid w:val="4CAC4D43"/>
    <w:rsid w:val="4CCF3744"/>
    <w:rsid w:val="4D0F0700"/>
    <w:rsid w:val="4D1C37CF"/>
    <w:rsid w:val="4D5679DC"/>
    <w:rsid w:val="4D780179"/>
    <w:rsid w:val="4DD73432"/>
    <w:rsid w:val="4E183A7E"/>
    <w:rsid w:val="4F244236"/>
    <w:rsid w:val="4F7D7A12"/>
    <w:rsid w:val="4FD80B7D"/>
    <w:rsid w:val="51436C11"/>
    <w:rsid w:val="51613A6C"/>
    <w:rsid w:val="5180327A"/>
    <w:rsid w:val="519B5E83"/>
    <w:rsid w:val="525473B7"/>
    <w:rsid w:val="526861E8"/>
    <w:rsid w:val="529E1C09"/>
    <w:rsid w:val="52CD3260"/>
    <w:rsid w:val="532662BB"/>
    <w:rsid w:val="5343496B"/>
    <w:rsid w:val="54106B37"/>
    <w:rsid w:val="54C012B5"/>
    <w:rsid w:val="55456FC5"/>
    <w:rsid w:val="55960B79"/>
    <w:rsid w:val="55B72586"/>
    <w:rsid w:val="55E21FC7"/>
    <w:rsid w:val="55E54264"/>
    <w:rsid w:val="55EC35D4"/>
    <w:rsid w:val="568779AB"/>
    <w:rsid w:val="56F75D8C"/>
    <w:rsid w:val="578259EC"/>
    <w:rsid w:val="57E52089"/>
    <w:rsid w:val="581A61D6"/>
    <w:rsid w:val="58425E6E"/>
    <w:rsid w:val="58E21829"/>
    <w:rsid w:val="59267E70"/>
    <w:rsid w:val="5927111C"/>
    <w:rsid w:val="59327A8A"/>
    <w:rsid w:val="597B346A"/>
    <w:rsid w:val="598418EE"/>
    <w:rsid w:val="59944058"/>
    <w:rsid w:val="59CC3500"/>
    <w:rsid w:val="59FA62BF"/>
    <w:rsid w:val="5B0D198A"/>
    <w:rsid w:val="5B465798"/>
    <w:rsid w:val="5BB44A0F"/>
    <w:rsid w:val="5BD53981"/>
    <w:rsid w:val="5D25728B"/>
    <w:rsid w:val="5D2D482E"/>
    <w:rsid w:val="5D7133A0"/>
    <w:rsid w:val="5D7229EC"/>
    <w:rsid w:val="5D8A5BAC"/>
    <w:rsid w:val="5DFF1EE9"/>
    <w:rsid w:val="5E4D6A29"/>
    <w:rsid w:val="5EA276B0"/>
    <w:rsid w:val="5EB961C6"/>
    <w:rsid w:val="5ECB265D"/>
    <w:rsid w:val="5F320EFA"/>
    <w:rsid w:val="5F8417AB"/>
    <w:rsid w:val="5F884026"/>
    <w:rsid w:val="5FB36ADE"/>
    <w:rsid w:val="600F2399"/>
    <w:rsid w:val="60EA0849"/>
    <w:rsid w:val="61152F74"/>
    <w:rsid w:val="62B333F3"/>
    <w:rsid w:val="62F158FB"/>
    <w:rsid w:val="63025BE8"/>
    <w:rsid w:val="63213186"/>
    <w:rsid w:val="636D44E0"/>
    <w:rsid w:val="637157A6"/>
    <w:rsid w:val="638617BF"/>
    <w:rsid w:val="63D678E5"/>
    <w:rsid w:val="6478146A"/>
    <w:rsid w:val="64F4793D"/>
    <w:rsid w:val="653463FD"/>
    <w:rsid w:val="66CB4B3F"/>
    <w:rsid w:val="677A0E7C"/>
    <w:rsid w:val="684F2DC7"/>
    <w:rsid w:val="6884793A"/>
    <w:rsid w:val="68E1689C"/>
    <w:rsid w:val="69862E29"/>
    <w:rsid w:val="698E07D2"/>
    <w:rsid w:val="69C328FF"/>
    <w:rsid w:val="6A304FBD"/>
    <w:rsid w:val="6A815C41"/>
    <w:rsid w:val="6AA82A7F"/>
    <w:rsid w:val="6AF30805"/>
    <w:rsid w:val="6B1D7779"/>
    <w:rsid w:val="6BBD0EFB"/>
    <w:rsid w:val="6BDD37F1"/>
    <w:rsid w:val="6BF31AE0"/>
    <w:rsid w:val="6C1D3545"/>
    <w:rsid w:val="6C6D2921"/>
    <w:rsid w:val="6CF52916"/>
    <w:rsid w:val="6D897A64"/>
    <w:rsid w:val="6D946650"/>
    <w:rsid w:val="6DB35282"/>
    <w:rsid w:val="6DE96BA6"/>
    <w:rsid w:val="6EE159EF"/>
    <w:rsid w:val="6EE55869"/>
    <w:rsid w:val="6EEA254A"/>
    <w:rsid w:val="6EF632D9"/>
    <w:rsid w:val="6F755C7D"/>
    <w:rsid w:val="6F7833FA"/>
    <w:rsid w:val="6F923E8B"/>
    <w:rsid w:val="705C4D2F"/>
    <w:rsid w:val="70B2295F"/>
    <w:rsid w:val="71115D25"/>
    <w:rsid w:val="71397543"/>
    <w:rsid w:val="715F1225"/>
    <w:rsid w:val="71605245"/>
    <w:rsid w:val="728828A7"/>
    <w:rsid w:val="729801B2"/>
    <w:rsid w:val="72AA7CFF"/>
    <w:rsid w:val="72C64F6C"/>
    <w:rsid w:val="7306668A"/>
    <w:rsid w:val="73E47231"/>
    <w:rsid w:val="74116287"/>
    <w:rsid w:val="74277859"/>
    <w:rsid w:val="74534B9A"/>
    <w:rsid w:val="74611DE4"/>
    <w:rsid w:val="74827185"/>
    <w:rsid w:val="749E2A81"/>
    <w:rsid w:val="74BA06CD"/>
    <w:rsid w:val="74F05498"/>
    <w:rsid w:val="751856DC"/>
    <w:rsid w:val="765B7C8E"/>
    <w:rsid w:val="769F2D7E"/>
    <w:rsid w:val="76A333E3"/>
    <w:rsid w:val="76AF436C"/>
    <w:rsid w:val="76FA1255"/>
    <w:rsid w:val="779523AB"/>
    <w:rsid w:val="77D335C1"/>
    <w:rsid w:val="78675530"/>
    <w:rsid w:val="7879264D"/>
    <w:rsid w:val="78B07F75"/>
    <w:rsid w:val="78E25162"/>
    <w:rsid w:val="792A1B99"/>
    <w:rsid w:val="796532E5"/>
    <w:rsid w:val="797F3C93"/>
    <w:rsid w:val="79DC2E94"/>
    <w:rsid w:val="7A132309"/>
    <w:rsid w:val="7A173A4F"/>
    <w:rsid w:val="7A435D29"/>
    <w:rsid w:val="7AC178E1"/>
    <w:rsid w:val="7ADA4C98"/>
    <w:rsid w:val="7B0D24E1"/>
    <w:rsid w:val="7BAB6FC2"/>
    <w:rsid w:val="7BCC6F38"/>
    <w:rsid w:val="7BE52F66"/>
    <w:rsid w:val="7C75312C"/>
    <w:rsid w:val="7C831CEC"/>
    <w:rsid w:val="7D060228"/>
    <w:rsid w:val="7D1862F1"/>
    <w:rsid w:val="7D7B6E68"/>
    <w:rsid w:val="7D7F24B4"/>
    <w:rsid w:val="7DB4614B"/>
    <w:rsid w:val="7DF52776"/>
    <w:rsid w:val="7E440ABE"/>
    <w:rsid w:val="7E4D2EF3"/>
    <w:rsid w:val="7E8A7AA1"/>
    <w:rsid w:val="7E9975A5"/>
    <w:rsid w:val="7F611FA5"/>
    <w:rsid w:val="7FA04963"/>
    <w:rsid w:val="7FB57679"/>
    <w:rsid w:val="7FDA3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3"/>
    <w:qFormat/>
    <w:uiPriority w:val="0"/>
    <w:pPr>
      <w:spacing w:beforeAutospacing="1" w:afterAutospacing="1"/>
      <w:outlineLvl w:val="0"/>
    </w:pPr>
    <w:rPr>
      <w:rFonts w:hint="eastAsia" w:ascii="宋体" w:hAnsi="宋体" w:eastAsia="宋体" w:cs="Times New Roman"/>
      <w:b/>
      <w:kern w:val="44"/>
      <w:sz w:val="28"/>
      <w:szCs w:val="48"/>
      <w:lang w:val="en-US" w:eastAsia="zh-CN" w:bidi="ar-SA"/>
    </w:rPr>
  </w:style>
  <w:style w:type="paragraph" w:styleId="4">
    <w:name w:val="heading 2"/>
    <w:basedOn w:val="1"/>
    <w:next w:val="1"/>
    <w:link w:val="3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6">
    <w:name w:val="heading 4"/>
    <w:basedOn w:val="1"/>
    <w:next w:val="1"/>
    <w:qFormat/>
    <w:uiPriority w:val="1"/>
    <w:pPr>
      <w:ind w:left="1260"/>
      <w:outlineLvl w:val="3"/>
    </w:pPr>
    <w:rPr>
      <w:b/>
      <w:bCs/>
      <w:sz w:val="28"/>
      <w:szCs w:val="28"/>
    </w:rPr>
  </w:style>
  <w:style w:type="paragraph" w:styleId="7">
    <w:name w:val="heading 6"/>
    <w:basedOn w:val="1"/>
    <w:next w:val="1"/>
    <w:qFormat/>
    <w:uiPriority w:val="1"/>
    <w:pPr>
      <w:spacing w:before="4"/>
      <w:ind w:left="59"/>
      <w:outlineLvl w:val="5"/>
    </w:pPr>
    <w:rPr>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3">
    <w:name w:val="正文2"/>
    <w:basedOn w:val="1"/>
    <w:qFormat/>
    <w:uiPriority w:val="0"/>
    <w:pPr>
      <w:spacing w:before="156" w:line="360" w:lineRule="auto"/>
      <w:ind w:firstLine="510" w:firstLineChars="200"/>
    </w:pPr>
    <w:rPr>
      <w:sz w:val="24"/>
      <w:szCs w:val="20"/>
    </w:rPr>
  </w:style>
  <w:style w:type="paragraph" w:styleId="8">
    <w:name w:val="table of authorities"/>
    <w:basedOn w:val="1"/>
    <w:next w:val="1"/>
    <w:qFormat/>
    <w:uiPriority w:val="99"/>
    <w:pPr>
      <w:ind w:left="420" w:leftChars="200"/>
    </w:pPr>
  </w:style>
  <w:style w:type="paragraph" w:styleId="9">
    <w:name w:val="Document Map"/>
    <w:basedOn w:val="1"/>
    <w:link w:val="40"/>
    <w:qFormat/>
    <w:uiPriority w:val="0"/>
    <w:rPr>
      <w:rFonts w:ascii="宋体" w:eastAsia="宋体"/>
      <w:sz w:val="18"/>
      <w:szCs w:val="18"/>
    </w:rPr>
  </w:style>
  <w:style w:type="paragraph" w:styleId="10">
    <w:name w:val="annotation text"/>
    <w:basedOn w:val="1"/>
    <w:qFormat/>
    <w:uiPriority w:val="0"/>
    <w:pPr>
      <w:jc w:val="left"/>
    </w:pPr>
  </w:style>
  <w:style w:type="paragraph" w:styleId="11">
    <w:name w:val="Body Text 3"/>
    <w:basedOn w:val="1"/>
    <w:qFormat/>
    <w:uiPriority w:val="99"/>
    <w:pPr>
      <w:tabs>
        <w:tab w:val="left" w:pos="1624"/>
      </w:tabs>
      <w:autoSpaceDE w:val="0"/>
      <w:autoSpaceDN w:val="0"/>
      <w:adjustRightInd w:val="0"/>
      <w:spacing w:line="400" w:lineRule="exact"/>
    </w:pPr>
    <w:rPr>
      <w:rFonts w:ascii="Calibri" w:hAnsi="Calibri" w:eastAsia="宋体" w:cs="Times New Roman"/>
      <w:color w:val="000000"/>
      <w:kern w:val="0"/>
      <w:sz w:val="20"/>
    </w:rPr>
  </w:style>
  <w:style w:type="paragraph" w:styleId="12">
    <w:name w:val="Body Text"/>
    <w:basedOn w:val="1"/>
    <w:qFormat/>
    <w:uiPriority w:val="1"/>
    <w:rPr>
      <w:sz w:val="24"/>
    </w:rPr>
  </w:style>
  <w:style w:type="paragraph" w:styleId="13">
    <w:name w:val="Body Text Indent"/>
    <w:basedOn w:val="1"/>
    <w:next w:val="1"/>
    <w:qFormat/>
    <w:uiPriority w:val="0"/>
    <w:pPr>
      <w:ind w:firstLine="540"/>
    </w:pPr>
    <w:rPr>
      <w:rFonts w:ascii="宋体"/>
      <w:sz w:val="28"/>
      <w:szCs w:val="20"/>
    </w:rPr>
  </w:style>
  <w:style w:type="paragraph" w:styleId="14">
    <w:name w:val="Plain Text"/>
    <w:basedOn w:val="1"/>
    <w:qFormat/>
    <w:uiPriority w:val="0"/>
    <w:rPr>
      <w:rFonts w:ascii="宋体" w:hAnsi="Courier New"/>
    </w:rPr>
  </w:style>
  <w:style w:type="paragraph" w:styleId="15">
    <w:name w:val="Balloon Text"/>
    <w:basedOn w:val="1"/>
    <w:link w:val="82"/>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9">
    <w:name w:val="Normal (Web)"/>
    <w:basedOn w:val="1"/>
    <w:qFormat/>
    <w:uiPriority w:val="99"/>
    <w:pPr>
      <w:spacing w:beforeAutospacing="1" w:afterAutospacing="1"/>
      <w:jc w:val="left"/>
    </w:pPr>
    <w:rPr>
      <w:rFonts w:cs="Times New Roman"/>
      <w:kern w:val="0"/>
      <w:sz w:val="24"/>
    </w:rPr>
  </w:style>
  <w:style w:type="paragraph" w:styleId="20">
    <w:name w:val="Body Text First Indent 2"/>
    <w:basedOn w:val="13"/>
    <w:qFormat/>
    <w:uiPriority w:val="0"/>
    <w:pPr>
      <w:spacing w:after="120"/>
      <w:ind w:left="420" w:firstLine="420"/>
    </w:pPr>
    <w:rPr>
      <w:rFonts w:ascii="Times New Roman"/>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FollowedHyperlink"/>
    <w:basedOn w:val="23"/>
    <w:qFormat/>
    <w:uiPriority w:val="0"/>
    <w:rPr>
      <w:color w:val="800080"/>
      <w:u w:val="none"/>
    </w:rPr>
  </w:style>
  <w:style w:type="character" w:styleId="26">
    <w:name w:val="Emphasis"/>
    <w:basedOn w:val="23"/>
    <w:qFormat/>
    <w:uiPriority w:val="20"/>
    <w:rPr>
      <w:i/>
      <w:i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ascii="monospace" w:hAnsi="monospace" w:eastAsia="monospace" w:cs="monospace"/>
    </w:rPr>
  </w:style>
  <w:style w:type="character" w:customStyle="1" w:styleId="36">
    <w:name w:val="fontstyle01"/>
    <w:basedOn w:val="23"/>
    <w:qFormat/>
    <w:uiPriority w:val="0"/>
    <w:rPr>
      <w:rFonts w:hint="eastAsia" w:ascii="仿宋_GB2312" w:eastAsia="仿宋_GB2312"/>
      <w:color w:val="000000"/>
      <w:sz w:val="22"/>
      <w:szCs w:val="22"/>
    </w:rPr>
  </w:style>
  <w:style w:type="character" w:customStyle="1" w:styleId="37">
    <w:name w:val="标题 3 Char"/>
    <w:basedOn w:val="23"/>
    <w:link w:val="5"/>
    <w:qFormat/>
    <w:uiPriority w:val="9"/>
    <w:rPr>
      <w:rFonts w:ascii="宋体" w:hAnsi="宋体" w:cs="宋体"/>
      <w:b/>
      <w:bCs/>
      <w:sz w:val="27"/>
      <w:szCs w:val="27"/>
    </w:rPr>
  </w:style>
  <w:style w:type="character" w:customStyle="1" w:styleId="38">
    <w:name w:val="标题 2 Char"/>
    <w:basedOn w:val="23"/>
    <w:link w:val="4"/>
    <w:semiHidden/>
    <w:qFormat/>
    <w:uiPriority w:val="0"/>
    <w:rPr>
      <w:rFonts w:asciiTheme="majorHAnsi" w:hAnsiTheme="majorHAnsi" w:eastAsiaTheme="majorEastAsia" w:cstheme="majorBidi"/>
      <w:b/>
      <w:bCs/>
      <w:kern w:val="2"/>
      <w:sz w:val="32"/>
      <w:szCs w:val="32"/>
    </w:rPr>
  </w:style>
  <w:style w:type="character" w:customStyle="1" w:styleId="39">
    <w:name w:val="editinput2"/>
    <w:basedOn w:val="23"/>
    <w:qFormat/>
    <w:uiPriority w:val="0"/>
  </w:style>
  <w:style w:type="character" w:customStyle="1" w:styleId="40">
    <w:name w:val="文档结构图 Char"/>
    <w:basedOn w:val="23"/>
    <w:link w:val="9"/>
    <w:qFormat/>
    <w:uiPriority w:val="0"/>
    <w:rPr>
      <w:rFonts w:ascii="宋体" w:hAnsiTheme="minorHAnsi" w:cstheme="minorBidi"/>
      <w:kern w:val="2"/>
      <w:sz w:val="18"/>
      <w:szCs w:val="18"/>
    </w:rPr>
  </w:style>
  <w:style w:type="paragraph" w:styleId="41">
    <w:name w:val="List Paragraph"/>
    <w:basedOn w:val="1"/>
    <w:qFormat/>
    <w:uiPriority w:val="99"/>
    <w:pPr>
      <w:ind w:left="1260" w:firstLine="479"/>
    </w:pPr>
  </w:style>
  <w:style w:type="paragraph" w:customStyle="1" w:styleId="42">
    <w:name w:val="Table Paragraph"/>
    <w:basedOn w:val="1"/>
    <w:qFormat/>
    <w:uiPriority w:val="1"/>
  </w:style>
  <w:style w:type="character" w:customStyle="1" w:styleId="43">
    <w:name w:val="first-child"/>
    <w:basedOn w:val="23"/>
    <w:qFormat/>
    <w:uiPriority w:val="0"/>
  </w:style>
  <w:style w:type="character" w:customStyle="1" w:styleId="44">
    <w:name w:val="layui-layer-tabnow"/>
    <w:basedOn w:val="23"/>
    <w:qFormat/>
    <w:uiPriority w:val="0"/>
    <w:rPr>
      <w:bdr w:val="single" w:color="CCCCCC" w:sz="6" w:space="0"/>
      <w:shd w:val="clear" w:color="auto" w:fill="FFFFFF"/>
    </w:rPr>
  </w:style>
  <w:style w:type="paragraph" w:customStyle="1" w:styleId="45">
    <w:name w:val="列出段落1"/>
    <w:basedOn w:val="1"/>
    <w:qFormat/>
    <w:uiPriority w:val="0"/>
    <w:pPr>
      <w:ind w:firstLine="420" w:firstLineChars="200"/>
    </w:pPr>
    <w:rPr>
      <w:rFonts w:ascii="Calibri" w:hAnsi="Calibri"/>
      <w:szCs w:val="22"/>
    </w:rPr>
  </w:style>
  <w:style w:type="paragraph" w:customStyle="1" w:styleId="46">
    <w:name w:val="列表段落1"/>
    <w:basedOn w:val="1"/>
    <w:qFormat/>
    <w:uiPriority w:val="34"/>
    <w:pPr>
      <w:ind w:firstLine="420" w:firstLineChars="200"/>
    </w:pPr>
  </w:style>
  <w:style w:type="character" w:customStyle="1" w:styleId="47">
    <w:name w:val="prev"/>
    <w:basedOn w:val="23"/>
    <w:qFormat/>
    <w:uiPriority w:val="0"/>
    <w:rPr>
      <w:rFonts w:ascii="微软雅黑" w:hAnsi="微软雅黑" w:eastAsia="微软雅黑" w:cs="微软雅黑"/>
      <w:sz w:val="21"/>
      <w:szCs w:val="21"/>
    </w:rPr>
  </w:style>
  <w:style w:type="character" w:customStyle="1" w:styleId="48">
    <w:name w:val="prev1"/>
    <w:basedOn w:val="23"/>
    <w:qFormat/>
    <w:uiPriority w:val="0"/>
    <w:rPr>
      <w:color w:val="888888"/>
    </w:rPr>
  </w:style>
  <w:style w:type="character" w:customStyle="1" w:styleId="49">
    <w:name w:val="redfilefwwh"/>
    <w:basedOn w:val="23"/>
    <w:qFormat/>
    <w:uiPriority w:val="0"/>
    <w:rPr>
      <w:color w:val="BA2636"/>
      <w:sz w:val="18"/>
      <w:szCs w:val="18"/>
    </w:rPr>
  </w:style>
  <w:style w:type="character" w:customStyle="1" w:styleId="50">
    <w:name w:val="qxdate"/>
    <w:basedOn w:val="23"/>
    <w:qFormat/>
    <w:uiPriority w:val="0"/>
    <w:rPr>
      <w:color w:val="333333"/>
      <w:sz w:val="18"/>
      <w:szCs w:val="18"/>
    </w:rPr>
  </w:style>
  <w:style w:type="character" w:customStyle="1" w:styleId="51">
    <w:name w:val="redfilenumber"/>
    <w:basedOn w:val="23"/>
    <w:qFormat/>
    <w:uiPriority w:val="0"/>
    <w:rPr>
      <w:color w:val="BA2636"/>
      <w:sz w:val="18"/>
      <w:szCs w:val="18"/>
    </w:rPr>
  </w:style>
  <w:style w:type="character" w:customStyle="1" w:styleId="52">
    <w:name w:val="displayarti"/>
    <w:basedOn w:val="23"/>
    <w:qFormat/>
    <w:uiPriority w:val="0"/>
    <w:rPr>
      <w:color w:val="FFFFFF"/>
      <w:shd w:val="clear" w:color="auto" w:fill="A00000"/>
    </w:rPr>
  </w:style>
  <w:style w:type="character" w:customStyle="1" w:styleId="53">
    <w:name w:val="next"/>
    <w:basedOn w:val="23"/>
    <w:qFormat/>
    <w:uiPriority w:val="0"/>
    <w:rPr>
      <w:rFonts w:hint="eastAsia" w:ascii="微软雅黑" w:hAnsi="微软雅黑" w:eastAsia="微软雅黑" w:cs="微软雅黑"/>
      <w:sz w:val="21"/>
      <w:szCs w:val="21"/>
    </w:rPr>
  </w:style>
  <w:style w:type="character" w:customStyle="1" w:styleId="54">
    <w:name w:val="next1"/>
    <w:basedOn w:val="23"/>
    <w:qFormat/>
    <w:uiPriority w:val="0"/>
    <w:rPr>
      <w:color w:val="888888"/>
    </w:rPr>
  </w:style>
  <w:style w:type="character" w:customStyle="1" w:styleId="55">
    <w:name w:val="cfdate"/>
    <w:basedOn w:val="23"/>
    <w:qFormat/>
    <w:uiPriority w:val="0"/>
    <w:rPr>
      <w:color w:val="333333"/>
      <w:sz w:val="18"/>
      <w:szCs w:val="18"/>
    </w:rPr>
  </w:style>
  <w:style w:type="character" w:customStyle="1" w:styleId="56">
    <w:name w:val="gjfg"/>
    <w:basedOn w:val="23"/>
    <w:qFormat/>
    <w:uiPriority w:val="0"/>
  </w:style>
  <w:style w:type="character" w:customStyle="1" w:styleId="57">
    <w:name w:val="index-module_large_1mscr1"/>
    <w:basedOn w:val="23"/>
    <w:qFormat/>
    <w:uiPriority w:val="0"/>
  </w:style>
  <w:style w:type="paragraph" w:customStyle="1" w:styleId="58">
    <w:name w:val="Heading2"/>
    <w:basedOn w:val="1"/>
    <w:next w:val="1"/>
    <w:qFormat/>
    <w:uiPriority w:val="0"/>
    <w:pPr>
      <w:keepNext/>
      <w:keepLines/>
      <w:spacing w:before="260" w:after="260" w:line="413" w:lineRule="auto"/>
      <w:textAlignment w:val="baseline"/>
    </w:pPr>
    <w:rPr>
      <w:rFonts w:ascii="Arial" w:hAnsi="Arial" w:eastAsia="黑体"/>
      <w:b/>
      <w:kern w:val="0"/>
      <w:sz w:val="32"/>
      <w:szCs w:val="20"/>
    </w:rPr>
  </w:style>
  <w:style w:type="character" w:customStyle="1" w:styleId="59">
    <w:name w:val="fontborder"/>
    <w:basedOn w:val="23"/>
    <w:qFormat/>
    <w:uiPriority w:val="0"/>
    <w:rPr>
      <w:bdr w:val="single" w:color="000000" w:sz="6" w:space="0"/>
    </w:rPr>
  </w:style>
  <w:style w:type="character" w:customStyle="1" w:styleId="60">
    <w:name w:val="fontstrikethrough"/>
    <w:basedOn w:val="23"/>
    <w:qFormat/>
    <w:uiPriority w:val="0"/>
    <w:rPr>
      <w:strike/>
    </w:rPr>
  </w:style>
  <w:style w:type="character" w:customStyle="1" w:styleId="61">
    <w:name w:val="first-child9"/>
    <w:basedOn w:val="23"/>
    <w:qFormat/>
    <w:uiPriority w:val="0"/>
  </w:style>
  <w:style w:type="character" w:customStyle="1" w:styleId="62">
    <w:name w:val="layui-this"/>
    <w:basedOn w:val="23"/>
    <w:qFormat/>
    <w:uiPriority w:val="0"/>
    <w:rPr>
      <w:bdr w:val="single" w:color="EEEEEE" w:sz="6" w:space="0"/>
      <w:shd w:val="clear" w:color="auto" w:fill="FFFFFF"/>
    </w:rPr>
  </w:style>
  <w:style w:type="character" w:customStyle="1" w:styleId="63">
    <w:name w:val="hover56"/>
    <w:basedOn w:val="23"/>
    <w:qFormat/>
    <w:uiPriority w:val="0"/>
    <w:rPr>
      <w:color w:val="FFFFFF"/>
    </w:rPr>
  </w:style>
  <w:style w:type="character" w:customStyle="1" w:styleId="64">
    <w:name w:val="hover57"/>
    <w:basedOn w:val="23"/>
    <w:qFormat/>
    <w:uiPriority w:val="0"/>
    <w:rPr>
      <w:color w:val="FFFFFF"/>
      <w:shd w:val="clear" w:color="auto" w:fill="FF0000"/>
    </w:rPr>
  </w:style>
  <w:style w:type="character" w:customStyle="1" w:styleId="65">
    <w:name w:val="c_span2"/>
    <w:basedOn w:val="23"/>
    <w:qFormat/>
    <w:uiPriority w:val="0"/>
  </w:style>
  <w:style w:type="character" w:customStyle="1" w:styleId="66">
    <w:name w:val="time8"/>
    <w:basedOn w:val="23"/>
    <w:qFormat/>
    <w:uiPriority w:val="0"/>
  </w:style>
  <w:style w:type="character" w:customStyle="1" w:styleId="67">
    <w:name w:val="hover27"/>
    <w:basedOn w:val="23"/>
    <w:qFormat/>
    <w:uiPriority w:val="0"/>
  </w:style>
  <w:style w:type="character" w:customStyle="1" w:styleId="68">
    <w:name w:val="hover28"/>
    <w:basedOn w:val="23"/>
    <w:qFormat/>
    <w:uiPriority w:val="0"/>
    <w:rPr>
      <w:color w:val="315EFB"/>
    </w:rPr>
  </w:style>
  <w:style w:type="character" w:customStyle="1" w:styleId="69">
    <w:name w:val="c-icon32"/>
    <w:basedOn w:val="23"/>
    <w:qFormat/>
    <w:uiPriority w:val="0"/>
  </w:style>
  <w:style w:type="character" w:customStyle="1" w:styleId="70">
    <w:name w:val="c-icon30"/>
    <w:basedOn w:val="23"/>
    <w:qFormat/>
    <w:uiPriority w:val="0"/>
  </w:style>
  <w:style w:type="character" w:customStyle="1" w:styleId="71">
    <w:name w:val="hover25"/>
    <w:basedOn w:val="23"/>
    <w:qFormat/>
    <w:uiPriority w:val="0"/>
    <w:rPr>
      <w:color w:val="315EFB"/>
    </w:rPr>
  </w:style>
  <w:style w:type="character" w:customStyle="1" w:styleId="72">
    <w:name w:val="hover26"/>
    <w:basedOn w:val="23"/>
    <w:qFormat/>
    <w:uiPriority w:val="0"/>
  </w:style>
  <w:style w:type="character" w:customStyle="1" w:styleId="73">
    <w:name w:val="content-right_8zs401"/>
    <w:basedOn w:val="23"/>
    <w:qFormat/>
    <w:uiPriority w:val="0"/>
  </w:style>
  <w:style w:type="character" w:customStyle="1" w:styleId="74">
    <w:name w:val="hover"/>
    <w:basedOn w:val="23"/>
    <w:qFormat/>
    <w:uiPriority w:val="0"/>
  </w:style>
  <w:style w:type="character" w:customStyle="1" w:styleId="75">
    <w:name w:val="hover1"/>
    <w:basedOn w:val="23"/>
    <w:qFormat/>
    <w:uiPriority w:val="0"/>
    <w:rPr>
      <w:color w:val="315EFB"/>
    </w:rPr>
  </w:style>
  <w:style w:type="character" w:customStyle="1" w:styleId="76">
    <w:name w:val="c-icon"/>
    <w:basedOn w:val="23"/>
    <w:qFormat/>
    <w:uiPriority w:val="0"/>
  </w:style>
  <w:style w:type="paragraph" w:customStyle="1" w:styleId="77">
    <w:name w:val="mt2"/>
    <w:basedOn w:val="1"/>
    <w:qFormat/>
    <w:uiPriority w:val="0"/>
    <w:pPr>
      <w:spacing w:before="300"/>
      <w:jc w:val="left"/>
    </w:pPr>
    <w:rPr>
      <w:rFonts w:cs="Times New Roman"/>
      <w:kern w:val="0"/>
    </w:rPr>
  </w:style>
  <w:style w:type="character" w:customStyle="1" w:styleId="78">
    <w:name w:val="bg"/>
    <w:basedOn w:val="23"/>
    <w:qFormat/>
    <w:uiPriority w:val="0"/>
  </w:style>
  <w:style w:type="character" w:customStyle="1" w:styleId="79">
    <w:name w:val="mt21"/>
    <w:basedOn w:val="23"/>
    <w:qFormat/>
    <w:uiPriority w:val="0"/>
  </w:style>
  <w:style w:type="character" w:customStyle="1" w:styleId="80">
    <w:name w:val="hover3"/>
    <w:basedOn w:val="23"/>
    <w:qFormat/>
    <w:uiPriority w:val="0"/>
    <w:rPr>
      <w:color w:val="315EFB"/>
    </w:rPr>
  </w:style>
  <w:style w:type="character" w:customStyle="1" w:styleId="81">
    <w:name w:val="index-module_accountauthentication_3bwix"/>
    <w:basedOn w:val="23"/>
    <w:qFormat/>
    <w:uiPriority w:val="0"/>
  </w:style>
  <w:style w:type="character" w:customStyle="1" w:styleId="82">
    <w:name w:val="批注框文本 Char"/>
    <w:basedOn w:val="23"/>
    <w:link w:val="15"/>
    <w:qFormat/>
    <w:uiPriority w:val="0"/>
    <w:rPr>
      <w:rFonts w:asciiTheme="minorHAnsi" w:hAnsiTheme="minorHAnsi" w:eastAsiaTheme="minorEastAsia" w:cstheme="minorBidi"/>
      <w:kern w:val="2"/>
      <w:sz w:val="18"/>
      <w:szCs w:val="18"/>
    </w:rPr>
  </w:style>
  <w:style w:type="paragraph" w:customStyle="1" w:styleId="83">
    <w:name w:val="ql-align-cent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4">
    <w:name w:val="ql-align-justify"/>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5">
    <w:name w:val="ql-align-righ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6">
    <w:name w:val="Table Text"/>
    <w:basedOn w:val="1"/>
    <w:semiHidden/>
    <w:qFormat/>
    <w:uiPriority w:val="0"/>
    <w:rPr>
      <w:rFonts w:ascii="仿宋" w:hAnsi="仿宋" w:eastAsia="仿宋" w:cs="仿宋"/>
      <w:sz w:val="24"/>
      <w:lang w:eastAsia="en-US"/>
    </w:rPr>
  </w:style>
  <w:style w:type="table" w:customStyle="1" w:styleId="87">
    <w:name w:val="Table Normal"/>
    <w:semiHidden/>
    <w:unhideWhenUsed/>
    <w:qFormat/>
    <w:uiPriority w:val="0"/>
    <w:tblPr>
      <w:tblCellMar>
        <w:top w:w="0" w:type="dxa"/>
        <w:left w:w="0" w:type="dxa"/>
        <w:bottom w:w="0" w:type="dxa"/>
        <w:right w:w="0" w:type="dxa"/>
      </w:tblCellMar>
    </w:tblPr>
  </w:style>
  <w:style w:type="paragraph" w:customStyle="1" w:styleId="88">
    <w:name w:val="采购需求样式"/>
    <w:qFormat/>
    <w:uiPriority w:val="0"/>
    <w:pPr>
      <w:spacing w:before="47" w:line="222" w:lineRule="auto"/>
      <w:ind w:firstLine="562" w:firstLineChars="200"/>
      <w:outlineLvl w:val="1"/>
    </w:pPr>
    <w:rPr>
      <w:rFonts w:hint="eastAsia" w:ascii="宋体" w:hAnsi="宋体" w:eastAsia="宋体" w:cs="Times New Roman"/>
      <w:b/>
      <w:color w:val="000000"/>
      <w:sz w:val="28"/>
      <w:szCs w:val="28"/>
      <w:lang w:val="en-US" w:eastAsia="zh-CN" w:bidi="ar-SA"/>
    </w:rPr>
  </w:style>
  <w:style w:type="character" w:customStyle="1" w:styleId="89">
    <w:name w:val="font61"/>
    <w:basedOn w:val="23"/>
    <w:qFormat/>
    <w:uiPriority w:val="0"/>
    <w:rPr>
      <w:rFonts w:hint="eastAsia" w:ascii="宋体" w:hAnsi="宋体" w:eastAsia="宋体" w:cs="宋体"/>
      <w:color w:val="000000"/>
      <w:sz w:val="22"/>
      <w:szCs w:val="22"/>
      <w:u w:val="none"/>
    </w:rPr>
  </w:style>
  <w:style w:type="character" w:customStyle="1" w:styleId="90">
    <w:name w:val="font5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BADBC8-A863-409C-A70C-DBE1D37BD2D5}">
  <ds:schemaRefs/>
</ds:datastoreItem>
</file>

<file path=docProps/app.xml><?xml version="1.0" encoding="utf-8"?>
<Properties xmlns="http://schemas.openxmlformats.org/officeDocument/2006/extended-properties" xmlns:vt="http://schemas.openxmlformats.org/officeDocument/2006/docPropsVTypes">
  <Template>Normal</Template>
  <Pages>6</Pages>
  <Words>2342</Words>
  <Characters>2811</Characters>
  <Lines>12</Lines>
  <Paragraphs>3</Paragraphs>
  <TotalTime>10</TotalTime>
  <ScaleCrop>false</ScaleCrop>
  <LinksUpToDate>false</LinksUpToDate>
  <CharactersWithSpaces>2955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2025-08-20T03:28:00Z</dcterms:created>
  <dc:creator>Administrator</dc:creator>
  <cp:lastModifiedBy>light</cp:lastModifiedBy>
  <cp:lastPrinted>2021-10-28T05:46:00Z</cp:lastPrinted>
  <dcterms:modified xsi:type="dcterms:W3CDTF">2025-08-28T07:00:48Z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DEAAD3D19A3E4002B7B60174C7630D49_13</vt:lpwstr>
  </property>
  <property fmtid="{D5CDD505-2E9C-101B-9397-08002B2CF9AE}" pid="4" name="KSOTemplateDocerSaveRecord">
    <vt:lpwstr>eyJoZGlkIjoiYWIyODYxMjI2ZWMyYmJiMTYwMzk3YTM4ZTllYjAyZTgiLCJ1c2VySWQiOiIxMDI2NTUyNjU5In0=</vt:lpwstr>
  </property>
</Properties>
</file>