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3F328">
      <w:pPr>
        <w:jc w:val="center"/>
        <w:rPr>
          <w:rFonts w:ascii="微软雅黑" w:hAnsi="微软雅黑" w:eastAsia="微软雅黑" w:cs="微软雅黑"/>
          <w:sz w:val="72"/>
          <w:szCs w:val="72"/>
        </w:rPr>
      </w:pPr>
      <w:r>
        <w:rPr>
          <w:rFonts w:hint="eastAsia" w:ascii="微软雅黑" w:hAnsi="微软雅黑" w:eastAsia="微软雅黑" w:cs="微软雅黑"/>
          <w:b/>
          <w:bCs/>
          <w:sz w:val="72"/>
          <w:szCs w:val="72"/>
        </w:rPr>
        <w:t>采购需求文件</w:t>
      </w:r>
    </w:p>
    <w:p w14:paraId="2E4FE057"/>
    <w:p w14:paraId="119F580C">
      <w:pPr>
        <w:pStyle w:val="3"/>
        <w:spacing w:before="120" w:line="298" w:lineRule="auto"/>
        <w:rPr>
          <w:rFonts w:ascii="微软雅黑" w:hAnsi="微软雅黑" w:eastAsia="微软雅黑" w:cs="微软雅黑"/>
          <w:b/>
          <w:bCs/>
          <w:spacing w:val="3"/>
          <w:position w:val="-1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pacing w:val="3"/>
          <w:position w:val="-1"/>
          <w:sz w:val="28"/>
          <w:szCs w:val="28"/>
        </w:rPr>
        <w:t xml:space="preserve">                     </w:t>
      </w:r>
    </w:p>
    <w:p w14:paraId="4A007372">
      <w:pPr>
        <w:pStyle w:val="3"/>
        <w:spacing w:before="120" w:line="298" w:lineRule="auto"/>
        <w:rPr>
          <w:rFonts w:ascii="微软雅黑" w:hAnsi="微软雅黑" w:eastAsia="微软雅黑" w:cs="微软雅黑"/>
          <w:b/>
          <w:bCs/>
          <w:spacing w:val="3"/>
          <w:position w:val="-1"/>
          <w:sz w:val="28"/>
          <w:szCs w:val="28"/>
        </w:rPr>
      </w:pPr>
    </w:p>
    <w:p w14:paraId="261D3C37">
      <w:pPr>
        <w:pStyle w:val="3"/>
        <w:spacing w:before="120" w:line="298" w:lineRule="auto"/>
        <w:ind w:firstLine="417" w:firstLineChars="128"/>
        <w:rPr>
          <w:rFonts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pacing w:val="3"/>
          <w:position w:val="-1"/>
          <w:sz w:val="32"/>
          <w:szCs w:val="32"/>
        </w:rPr>
        <w:t>调查方式</w:t>
      </w:r>
      <w:r>
        <w:rPr>
          <w:rFonts w:hint="eastAsia" w:ascii="微软雅黑" w:hAnsi="微软雅黑" w:eastAsia="微软雅黑" w:cs="微软雅黑"/>
          <w:b/>
          <w:bCs/>
          <w:spacing w:val="-8"/>
          <w:position w:val="-1"/>
          <w:sz w:val="32"/>
          <w:szCs w:val="32"/>
        </w:rPr>
        <w:t xml:space="preserve"> ：  </w:t>
      </w:r>
      <w:r>
        <w:rPr>
          <w:rFonts w:hint="eastAsia" w:ascii="微软雅黑" w:hAnsi="微软雅黑" w:eastAsia="微软雅黑" w:cs="微软雅黑"/>
          <w:spacing w:val="-59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pacing w:val="3"/>
          <w:sz w:val="32"/>
          <w:szCs w:val="32"/>
        </w:rPr>
        <w:t>□咨询；</w:t>
      </w:r>
      <w:r>
        <w:rPr>
          <w:rFonts w:hint="eastAsia" w:ascii="微软雅黑" w:hAnsi="微软雅黑" w:eastAsia="微软雅黑" w:cs="微软雅黑"/>
          <w:spacing w:val="-58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pacing w:val="3"/>
          <w:sz w:val="32"/>
          <w:szCs w:val="32"/>
        </w:rPr>
        <w:t>□论证；</w:t>
      </w:r>
      <w:r>
        <w:rPr>
          <w:rFonts w:hint="eastAsia" w:ascii="微软雅黑" w:hAnsi="微软雅黑" w:eastAsia="微软雅黑" w:cs="微软雅黑"/>
          <w:spacing w:val="-59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pacing w:val="3"/>
          <w:sz w:val="32"/>
          <w:szCs w:val="32"/>
        </w:rPr>
        <w:t>☑市场征集；</w:t>
      </w:r>
      <w:r>
        <w:rPr>
          <w:rFonts w:hint="eastAsia" w:ascii="微软雅黑" w:hAnsi="微软雅黑" w:eastAsia="微软雅黑" w:cs="微软雅黑"/>
          <w:spacing w:val="3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□其他：</w:t>
      </w:r>
    </w:p>
    <w:p w14:paraId="1E3A5AF4">
      <w:pPr>
        <w:pStyle w:val="3"/>
        <w:spacing w:before="88" w:line="183" w:lineRule="auto"/>
        <w:rPr>
          <w:rFonts w:ascii="微软雅黑" w:hAnsi="微软雅黑" w:eastAsia="微软雅黑" w:cs="微软雅黑"/>
          <w:b/>
          <w:bCs/>
          <w:position w:val="-1"/>
          <w:sz w:val="32"/>
          <w:szCs w:val="32"/>
        </w:rPr>
      </w:pPr>
    </w:p>
    <w:p w14:paraId="4A98CA67">
      <w:pPr>
        <w:pStyle w:val="3"/>
        <w:spacing w:before="88" w:line="183" w:lineRule="auto"/>
        <w:ind w:firstLine="419" w:firstLineChars="131"/>
        <w:rPr>
          <w:rFonts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position w:val="-1"/>
          <w:sz w:val="32"/>
          <w:szCs w:val="32"/>
        </w:rPr>
        <w:t xml:space="preserve">项目类型 ：  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□工程；</w:t>
      </w:r>
      <w:r>
        <w:rPr>
          <w:rFonts w:hint="eastAsia" w:ascii="微软雅黑" w:hAnsi="微软雅黑" w:eastAsia="微软雅黑" w:cs="微软雅黑"/>
          <w:spacing w:val="-58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☑货物；</w:t>
      </w:r>
      <w:r>
        <w:rPr>
          <w:rFonts w:hint="eastAsia" w:ascii="微软雅黑" w:hAnsi="微软雅黑" w:eastAsia="微软雅黑" w:cs="微软雅黑"/>
          <w:spacing w:val="-66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spacing w:val="-68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□服务；</w:t>
      </w:r>
      <w:r>
        <w:rPr>
          <w:rFonts w:hint="eastAsia" w:ascii="微软雅黑" w:hAnsi="微软雅黑" w:eastAsia="微软雅黑" w:cs="微软雅黑"/>
          <w:spacing w:val="-68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□其他：</w:t>
      </w:r>
    </w:p>
    <w:p w14:paraId="4180C65B">
      <w:pPr>
        <w:pStyle w:val="3"/>
        <w:spacing w:before="261" w:line="184" w:lineRule="auto"/>
        <w:ind w:left="40"/>
        <w:rPr>
          <w:rFonts w:ascii="微软雅黑" w:hAnsi="微软雅黑" w:eastAsia="微软雅黑" w:cs="微软雅黑"/>
          <w:b/>
          <w:bCs/>
          <w:spacing w:val="-2"/>
          <w:sz w:val="32"/>
          <w:szCs w:val="32"/>
        </w:rPr>
      </w:pPr>
    </w:p>
    <w:p w14:paraId="55BB4694">
      <w:pPr>
        <w:pStyle w:val="3"/>
        <w:spacing w:before="261" w:line="184" w:lineRule="auto"/>
        <w:ind w:left="40" w:firstLine="379" w:firstLineChars="120"/>
        <w:rPr>
          <w:rFonts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需求部门 ：  信息技术科</w:t>
      </w:r>
    </w:p>
    <w:p w14:paraId="27AC8541">
      <w:pPr>
        <w:pStyle w:val="3"/>
        <w:spacing w:before="256" w:line="184" w:lineRule="auto"/>
        <w:ind w:left="37"/>
        <w:rPr>
          <w:rFonts w:ascii="微软雅黑" w:hAnsi="微软雅黑" w:eastAsia="微软雅黑" w:cs="微软雅黑"/>
          <w:b/>
          <w:bCs/>
          <w:spacing w:val="-1"/>
          <w:sz w:val="32"/>
          <w:szCs w:val="32"/>
        </w:rPr>
      </w:pPr>
    </w:p>
    <w:p w14:paraId="2D98FAC9">
      <w:pPr>
        <w:tabs>
          <w:tab w:val="left" w:pos="1045"/>
        </w:tabs>
        <w:ind w:firstLine="420" w:firstLineChars="132"/>
        <w:jc w:val="left"/>
        <w:outlineLvl w:val="0"/>
        <w:rPr>
          <w:rFonts w:eastAsia="微软雅黑"/>
          <w:b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pacing w:val="-1"/>
          <w:sz w:val="32"/>
          <w:szCs w:val="32"/>
        </w:rPr>
        <w:t>项目名称 ：  数据容灾备份一体机采购</w:t>
      </w:r>
    </w:p>
    <w:p w14:paraId="109B321C"/>
    <w:p w14:paraId="7D2B3E0D"/>
    <w:p w14:paraId="6CCF01ED"/>
    <w:p w14:paraId="4038DC84"/>
    <w:p w14:paraId="34CE8B8B"/>
    <w:p w14:paraId="11546690"/>
    <w:p w14:paraId="5D14602D"/>
    <w:p w14:paraId="79FCDE4C"/>
    <w:p w14:paraId="6802713B"/>
    <w:p w14:paraId="6DDA4D9D"/>
    <w:p w14:paraId="7CA8938D"/>
    <w:p w14:paraId="60999C4B"/>
    <w:p w14:paraId="11E615FB"/>
    <w:p w14:paraId="6D824590"/>
    <w:p w14:paraId="24FDF60A"/>
    <w:p w14:paraId="07E783F7"/>
    <w:p w14:paraId="28D86A95">
      <w:pPr>
        <w:widowControl/>
        <w:numPr>
          <w:ilvl w:val="0"/>
          <w:numId w:val="1"/>
        </w:numPr>
        <w:ind w:firstLine="0"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项目概述</w:t>
      </w:r>
    </w:p>
    <w:p w14:paraId="2C469DCB">
      <w:pPr>
        <w:widowControl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项目名称：数据容灾备份一体机采购</w:t>
      </w:r>
    </w:p>
    <w:p w14:paraId="2EC0C23E">
      <w:pPr>
        <w:widowControl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项目背景：伴随业务系统所需进行灾备的数据量持续增多，现有的存储资源与计算资源已难以继续满足（HIS、LIS、EMR）等关键业务的容灾接管需求。目前，灾备一体机的内存使用率高达94%，SSD存储空间使用率超过85%，SATA存储空间使用率超过70%。因此，需新增一台数据容灾备份一体机，以确保可用资源能够满足未来3年的增长需求。 </w:t>
      </w:r>
    </w:p>
    <w:p w14:paraId="6556DF5C">
      <w:pPr>
        <w:widowControl/>
        <w:numPr>
          <w:ilvl w:val="0"/>
          <w:numId w:val="1"/>
        </w:numPr>
        <w:ind w:firstLine="0"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项目技术参数</w:t>
      </w:r>
    </w:p>
    <w:tbl>
      <w:tblPr>
        <w:tblStyle w:val="9"/>
        <w:tblW w:w="8522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80" w:type="dxa"/>
          <w:left w:w="128" w:type="dxa"/>
          <w:bottom w:w="80" w:type="dxa"/>
          <w:right w:w="128" w:type="dxa"/>
        </w:tblCellMar>
      </w:tblPr>
      <w:tblGrid>
        <w:gridCol w:w="567"/>
        <w:gridCol w:w="7955"/>
      </w:tblGrid>
      <w:tr w14:paraId="6F3F8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c>
          <w:tcPr>
            <w:tcW w:w="567" w:type="dxa"/>
            <w:vAlign w:val="center"/>
          </w:tcPr>
          <w:p w14:paraId="0D2E2F17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bidi="ar"/>
              </w:rPr>
              <w:t>硬件要求</w:t>
            </w:r>
          </w:p>
        </w:tc>
        <w:tc>
          <w:tcPr>
            <w:tcW w:w="7955" w:type="dxa"/>
          </w:tcPr>
          <w:p w14:paraId="6F0F5CD2">
            <w:pPr>
              <w:numPr>
                <w:ilvl w:val="0"/>
                <w:numId w:val="2"/>
              </w:numPr>
              <w:snapToGrid w:val="0"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MS Gothic" w:hAnsi="MS Gothic" w:eastAsia="MS Gothic" w:cs="MS Gothic"/>
                <w:color w:val="000000"/>
                <w:kern w:val="0"/>
                <w:szCs w:val="21"/>
                <w:lang w:bidi="ar"/>
              </w:rPr>
              <w:t>‌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bidi="ar"/>
              </w:rPr>
              <w:t>2U机架式设计，适合标准数据中心部署。</w:t>
            </w:r>
          </w:p>
          <w:p w14:paraId="535D5764">
            <w:pPr>
              <w:numPr>
                <w:ilvl w:val="0"/>
                <w:numId w:val="2"/>
              </w:numPr>
              <w:snapToGrid w:val="0"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bidi="ar"/>
              </w:rPr>
              <w:t>≥24核心处理器。</w:t>
            </w:r>
            <w:r>
              <w:rPr>
                <w:rFonts w:hint="eastAsia" w:ascii="MS Gothic" w:hAnsi="MS Gothic" w:eastAsia="MS Gothic" w:cs="MS Gothic"/>
                <w:color w:val="000000"/>
                <w:kern w:val="0"/>
                <w:szCs w:val="21"/>
                <w:lang w:bidi="ar"/>
              </w:rPr>
              <w:t>‌</w:t>
            </w:r>
          </w:p>
          <w:p w14:paraId="250DB20E">
            <w:pPr>
              <w:numPr>
                <w:ilvl w:val="0"/>
                <w:numId w:val="2"/>
              </w:numPr>
              <w:snapToGrid w:val="0"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bidi="ar"/>
              </w:rPr>
              <w:t>5块≥2TB SSD，5块≥8TB SATA硬盘混合配置，支持高速与高容量存储需求。</w:t>
            </w:r>
          </w:p>
          <w:p w14:paraId="238D4935">
            <w:pPr>
              <w:numPr>
                <w:ilvl w:val="0"/>
                <w:numId w:val="2"/>
              </w:numPr>
              <w:snapToGrid w:val="0"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bidi="ar"/>
              </w:rPr>
              <w:t>≥2GB缓存阵列，提升数据读写效率。</w:t>
            </w:r>
            <w:r>
              <w:rPr>
                <w:rFonts w:hint="eastAsia" w:ascii="MS Gothic" w:hAnsi="MS Gothic" w:eastAsia="MS Gothic" w:cs="MS Gothic"/>
                <w:color w:val="000000"/>
                <w:kern w:val="0"/>
                <w:szCs w:val="21"/>
                <w:lang w:bidi="ar"/>
              </w:rPr>
              <w:t>‌</w:t>
            </w:r>
          </w:p>
          <w:p w14:paraId="1189337F">
            <w:pPr>
              <w:numPr>
                <w:ilvl w:val="0"/>
                <w:numId w:val="2"/>
              </w:numPr>
              <w:snapToGrid w:val="0"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bidi="ar"/>
              </w:rPr>
              <w:t>≥2个10GbE接口，≥4个1GbE接口，满足高带宽与多网络连接需求。</w:t>
            </w:r>
          </w:p>
          <w:p w14:paraId="530560FB">
            <w:pPr>
              <w:numPr>
                <w:ilvl w:val="0"/>
                <w:numId w:val="2"/>
              </w:numPr>
              <w:snapToGrid w:val="0"/>
              <w:spacing w:line="360" w:lineRule="auto"/>
              <w:jc w:val="lef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bidi="ar"/>
              </w:rPr>
              <w:t>支持冗余电源，保障系统稳定性。</w:t>
            </w:r>
          </w:p>
        </w:tc>
      </w:tr>
      <w:tr w14:paraId="5FAAE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c>
          <w:tcPr>
            <w:tcW w:w="567" w:type="dxa"/>
            <w:vAlign w:val="center"/>
          </w:tcPr>
          <w:p w14:paraId="69BE99E7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bidi="ar"/>
              </w:rPr>
              <w:t>软件要求</w:t>
            </w:r>
          </w:p>
        </w:tc>
        <w:tc>
          <w:tcPr>
            <w:tcW w:w="7955" w:type="dxa"/>
          </w:tcPr>
          <w:p w14:paraId="1ECB2993">
            <w:pPr>
              <w:numPr>
                <w:ilvl w:val="0"/>
                <w:numId w:val="3"/>
              </w:numPr>
              <w:snapToGrid w:val="0"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bidi="ar"/>
              </w:rPr>
              <w:t xml:space="preserve">配置数据库、文件、虚拟机备份32TB许可，8个应用实时备份接管许可.RTO&lt;10分钟，RPO&lt;5分钟。                           </w:t>
            </w:r>
          </w:p>
          <w:p w14:paraId="3927E14B">
            <w:pPr>
              <w:numPr>
                <w:ilvl w:val="0"/>
                <w:numId w:val="3"/>
              </w:numPr>
              <w:snapToGrid w:val="0"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bidi="ar"/>
              </w:rPr>
              <w:t>支持包含Oracle/SQL Server/Mysql/达梦等主流国内外数据库的全量/增量/CDP日志备份等多种备份方式；支持Vmware/Hyper-v/CAS/Zstack/KVM等平台虚拟机的全量/增量备份（无需安装任何代理软件）；支持Windows/Linux下文件/文件夹/卷/系统的同步备份及增量同步备份；包含高级参数编制功能，可于备份前进行自定义配置，以实现源端重删、压缩等效果。</w:t>
            </w:r>
          </w:p>
          <w:p w14:paraId="70887B8C">
            <w:pPr>
              <w:numPr>
                <w:ilvl w:val="0"/>
                <w:numId w:val="3"/>
              </w:numPr>
              <w:snapToGrid w:val="0"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bidi="ar"/>
              </w:rPr>
              <w:t>支持对备份的数据进行基于时间点的全备恢复、全+增量恢复，以及任意时间点的CDP日志恢复，满足多种情况下数据恢复需求。同时匹配自动恢复演练技术，周期性自动化调用备份集进行验证，确保备份机制及数据的有效性。</w:t>
            </w:r>
          </w:p>
          <w:p w14:paraId="3BD08BFC">
            <w:pPr>
              <w:numPr>
                <w:ilvl w:val="0"/>
                <w:numId w:val="3"/>
              </w:numPr>
              <w:snapToGrid w:val="0"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bidi="ar"/>
              </w:rPr>
              <w:t>支持物理机/虚拟化/超融合等环境中的数据库/文件/虚拟机等应用数据的实时同步，提供主备的双活容灾环境，通过相应的手动/自动切换接管技术来实现业务系统的容灾。</w:t>
            </w:r>
          </w:p>
          <w:p w14:paraId="27C20552">
            <w:pPr>
              <w:numPr>
                <w:ilvl w:val="0"/>
                <w:numId w:val="3"/>
              </w:numPr>
              <w:snapToGrid w:val="0"/>
              <w:spacing w:line="360" w:lineRule="auto"/>
              <w:jc w:val="lef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bidi="ar"/>
              </w:rPr>
              <w:t xml:space="preserve">支持现有灾备系统自动识别并纳管，能够纳入现有备份系统中进行统一备份数据管理，对现有备份节点进行有效扩容。  </w:t>
            </w:r>
            <w:r>
              <w:rPr>
                <w:rFonts w:hint="eastAsia" w:cs="宋体" w:asciiTheme="minorEastAsia" w:hAnsiTheme="minorEastAsia"/>
                <w:color w:val="FF0000"/>
                <w:kern w:val="0"/>
                <w:szCs w:val="21"/>
                <w:lang w:bidi="ar"/>
              </w:rPr>
              <w:t xml:space="preserve">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bidi="ar"/>
              </w:rPr>
              <w:t xml:space="preserve"> </w:t>
            </w:r>
          </w:p>
          <w:p w14:paraId="21880210">
            <w:pPr>
              <w:numPr>
                <w:ilvl w:val="0"/>
                <w:numId w:val="3"/>
              </w:numPr>
              <w:snapToGrid w:val="0"/>
              <w:spacing w:line="360" w:lineRule="auto"/>
              <w:jc w:val="left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bidi="ar"/>
              </w:rPr>
              <w:t xml:space="preserve">提供B/S架构中文图形化管理平台，显示监管灾备情况并支持邮件/短信/微信三大方式告警。                </w:t>
            </w:r>
          </w:p>
        </w:tc>
      </w:tr>
    </w:tbl>
    <w:p w14:paraId="6CBB3F54">
      <w:pPr>
        <w:pStyle w:val="12"/>
        <w:spacing w:before="0" w:line="240" w:lineRule="auto"/>
        <w:ind w:firstLine="0" w:firstLineChars="0"/>
        <w:jc w:val="both"/>
        <w:rPr>
          <w:rFonts w:hint="default"/>
          <w:bCs/>
        </w:rPr>
      </w:pPr>
    </w:p>
    <w:p w14:paraId="72888266">
      <w:pPr>
        <w:widowControl/>
        <w:numPr>
          <w:ilvl w:val="0"/>
          <w:numId w:val="1"/>
        </w:numPr>
        <w:ind w:firstLine="0"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售后服务与质保要求</w:t>
      </w:r>
    </w:p>
    <w:p w14:paraId="1AE5DBF5">
      <w:pPr>
        <w:pStyle w:val="6"/>
        <w:widowControl/>
        <w:wordWrap w:val="0"/>
        <w:rPr>
          <w:rFonts w:hint="default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3.1 质保总则</w:t>
      </w:r>
    </w:p>
    <w:p w14:paraId="12FA6B3A">
      <w:pPr>
        <w:pStyle w:val="6"/>
        <w:widowControl/>
        <w:wordWrap w:val="0"/>
        <w:rPr>
          <w:rFonts w:hint="default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设备享受叁年免费原厂质保；</w:t>
      </w:r>
    </w:p>
    <w:p w14:paraId="7A042F7D">
      <w:pPr>
        <w:pStyle w:val="6"/>
        <w:widowControl/>
        <w:wordWrap w:val="0"/>
        <w:rPr>
          <w:rFonts w:hint="default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提供原厂售后服务承诺函；</w:t>
      </w:r>
    </w:p>
    <w:p w14:paraId="13F0151E">
      <w:pPr>
        <w:pStyle w:val="6"/>
        <w:widowControl/>
        <w:wordWrap w:val="0"/>
        <w:rPr>
          <w:rFonts w:hint="default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质保期自验收合格并签署《验收报告》之日起计算。</w:t>
      </w:r>
    </w:p>
    <w:p w14:paraId="34D3BFB2">
      <w:pPr>
        <w:pStyle w:val="6"/>
        <w:widowControl/>
        <w:wordWrap w:val="0"/>
        <w:rPr>
          <w:rFonts w:hint="default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 质保服务内容</w:t>
      </w:r>
    </w:p>
    <w:tbl>
      <w:tblPr>
        <w:tblStyle w:val="8"/>
        <w:tblW w:w="8563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7048"/>
      </w:tblGrid>
      <w:tr w14:paraId="401390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A640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服务类型</w:t>
            </w:r>
          </w:p>
        </w:tc>
        <w:tc>
          <w:tcPr>
            <w:tcW w:w="7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3F74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服务内容</w:t>
            </w:r>
          </w:p>
        </w:tc>
      </w:tr>
      <w:tr w14:paraId="70BC0D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15FC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硬件服务</w:t>
            </w:r>
          </w:p>
        </w:tc>
        <w:tc>
          <w:tcPr>
            <w:tcW w:w="7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5B8C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免费维修或更换原厂部件</w:t>
            </w:r>
          </w:p>
        </w:tc>
      </w:tr>
      <w:tr w14:paraId="4B41F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FBD2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故障响应</w:t>
            </w:r>
          </w:p>
        </w:tc>
        <w:tc>
          <w:tcPr>
            <w:tcW w:w="7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2EFA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电话报修响应时间</w:t>
            </w:r>
            <w:r>
              <w:rPr>
                <w:sz w:val="28"/>
                <w:szCs w:val="28"/>
              </w:rPr>
              <w:t>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1小时，到达现场响应时间</w:t>
            </w:r>
            <w:r>
              <w:rPr>
                <w:sz w:val="28"/>
                <w:szCs w:val="28"/>
              </w:rPr>
              <w:t xml:space="preserve"> ≤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小时。故障8小时内无法解决时，提供备用机，</w:t>
            </w:r>
            <w:r>
              <w:rPr>
                <w:sz w:val="28"/>
                <w:szCs w:val="28"/>
              </w:rPr>
              <w:t>确保业务不中断</w:t>
            </w:r>
            <w:r>
              <w:rPr>
                <w:rFonts w:hint="eastAsia"/>
                <w:sz w:val="28"/>
                <w:szCs w:val="28"/>
              </w:rPr>
              <w:t>。</w:t>
            </w:r>
          </w:p>
        </w:tc>
      </w:tr>
    </w:tbl>
    <w:p w14:paraId="3A6FCD9B">
      <w:pPr>
        <w:pStyle w:val="6"/>
        <w:widowControl/>
        <w:wordWrap w:val="0"/>
        <w:rPr>
          <w:rFonts w:hint="default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3.3 定期巡检与服务报告</w:t>
      </w:r>
      <w:bookmarkStart w:id="0" w:name="_GoBack"/>
      <w:bookmarkEnd w:id="0"/>
    </w:p>
    <w:p w14:paraId="6B61416C">
      <w:pPr>
        <w:pStyle w:val="6"/>
        <w:widowControl/>
        <w:wordWrap w:val="0"/>
        <w:ind w:left="210" w:leftChars="100"/>
        <w:rPr>
          <w:rFonts w:hint="default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质保期内每月至少提供一次免费软硬巡检。</w:t>
      </w:r>
    </w:p>
    <w:p w14:paraId="387E8E3D">
      <w:pPr>
        <w:pStyle w:val="6"/>
        <w:widowControl/>
        <w:wordWrap w:val="0"/>
        <w:ind w:left="210" w:leftChars="100"/>
        <w:rPr>
          <w:rFonts w:hint="default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质保期内提供免费软硬件版本升级服务。</w:t>
      </w:r>
    </w:p>
    <w:p w14:paraId="00238D4D">
      <w:pPr>
        <w:pStyle w:val="6"/>
        <w:widowControl/>
        <w:wordWrap w:val="0"/>
        <w:ind w:left="210" w:leftChars="100"/>
        <w:rPr>
          <w:rFonts w:hint="default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每次巡检后提供书面报告，含问题清单与处理建议。</w:t>
      </w:r>
    </w:p>
    <w:p w14:paraId="5760F20C">
      <w:pPr>
        <w:widowControl/>
        <w:numPr>
          <w:ilvl w:val="0"/>
          <w:numId w:val="1"/>
        </w:numPr>
        <w:ind w:firstLine="0"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付款与验收</w:t>
      </w:r>
    </w:p>
    <w:p w14:paraId="5FE2909A">
      <w:pPr>
        <w:pStyle w:val="6"/>
        <w:widowControl/>
        <w:wordWrap w:val="0"/>
        <w:ind w:left="210" w:leftChars="100"/>
        <w:rPr>
          <w:rFonts w:hint="default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 付款方式</w:t>
      </w:r>
    </w:p>
    <w:p w14:paraId="11D243DB">
      <w:pPr>
        <w:pStyle w:val="6"/>
        <w:widowControl/>
        <w:wordWrap w:val="0"/>
        <w:ind w:left="210" w:leftChars="100"/>
        <w:rPr>
          <w:rFonts w:hint="default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项目实施完毕，验收合格后按财务付款流程支付95%；</w:t>
      </w:r>
    </w:p>
    <w:p w14:paraId="4A81EF37">
      <w:pPr>
        <w:pStyle w:val="6"/>
        <w:widowControl/>
        <w:wordWrap w:val="0"/>
        <w:ind w:left="210" w:leftChars="100"/>
        <w:rPr>
          <w:rFonts w:hint="default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剩余5%作为质保金，叁年质保期满后付清。</w:t>
      </w:r>
    </w:p>
    <w:p w14:paraId="75C2F5D5">
      <w:pPr>
        <w:pStyle w:val="6"/>
        <w:widowControl/>
        <w:wordWrap w:val="0"/>
        <w:ind w:left="210" w:leftChars="100"/>
        <w:rPr>
          <w:rFonts w:hint="default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 验收标准</w:t>
      </w:r>
    </w:p>
    <w:p w14:paraId="535DD8F3">
      <w:pPr>
        <w:pStyle w:val="6"/>
        <w:widowControl/>
        <w:numPr>
          <w:ilvl w:val="0"/>
          <w:numId w:val="4"/>
        </w:numPr>
        <w:wordWrap w:val="0"/>
        <w:rPr>
          <w:rFonts w:hint="default"/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  <w:t>冗余电源、散热系统等关键部件的故障切换时间≤30秒；</w:t>
      </w:r>
    </w:p>
    <w:p w14:paraId="5258C3C2">
      <w:pPr>
        <w:pStyle w:val="6"/>
        <w:widowControl/>
        <w:numPr>
          <w:ilvl w:val="0"/>
          <w:numId w:val="4"/>
        </w:numPr>
        <w:wordWrap w:val="0"/>
        <w:rPr>
          <w:rFonts w:hint="default"/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  <w:t>备份/恢复、数据同步、策略配置等核心功能模块需实现100%覆盖；</w:t>
      </w:r>
    </w:p>
    <w:p w14:paraId="325ACF61">
      <w:pPr>
        <w:pStyle w:val="6"/>
        <w:widowControl/>
        <w:numPr>
          <w:ilvl w:val="0"/>
          <w:numId w:val="4"/>
        </w:numPr>
        <w:wordWrap w:val="0"/>
        <w:rPr>
          <w:rFonts w:hint="default"/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  <w:t>与主流操作系统（Windows/Linux）及数据库（Oracle/MySQL）兼容；</w:t>
      </w:r>
    </w:p>
    <w:p w14:paraId="60D29746">
      <w:pPr>
        <w:pStyle w:val="3"/>
        <w:numPr>
          <w:ilvl w:val="0"/>
          <w:numId w:val="4"/>
        </w:numPr>
        <w:rPr>
          <w:color w:val="auto"/>
          <w:sz w:val="28"/>
          <w:szCs w:val="28"/>
          <w:highlight w:val="none"/>
        </w:rPr>
      </w:pPr>
      <w:r>
        <w:rPr>
          <w:rFonts w:hint="eastAsia"/>
          <w:color w:val="auto"/>
          <w:sz w:val="28"/>
          <w:szCs w:val="28"/>
          <w:highlight w:val="none"/>
        </w:rPr>
        <w:t>可配置主设备（生产环境）与备设备（容灾环境），提供基于NFS存储的CDP功能，实现接管文件夹数据的任意时间点恢复和接管，并减少IO级CDP同步所产生的性能影响。</w:t>
      </w:r>
    </w:p>
    <w:p w14:paraId="0A024CDF">
      <w:pPr>
        <w:pStyle w:val="13"/>
        <w:numPr>
          <w:ilvl w:val="0"/>
          <w:numId w:val="4"/>
        </w:numPr>
        <w:ind w:firstLineChars="0"/>
        <w:rPr>
          <w:color w:val="auto"/>
          <w:sz w:val="28"/>
          <w:szCs w:val="28"/>
          <w:highlight w:val="none"/>
        </w:rPr>
      </w:pPr>
      <w:r>
        <w:rPr>
          <w:rFonts w:hint="eastAsia"/>
          <w:color w:val="auto"/>
          <w:sz w:val="28"/>
          <w:szCs w:val="28"/>
          <w:highlight w:val="none"/>
        </w:rPr>
        <w:t>支持“日志收缩”操作来实现增量数据的精简，从而保障切换的稳定与快捷。也可通过见证服务器及故障转移开关实现故障自动切换，进一步智能自动化保障数据安全业务连续性。</w:t>
      </w:r>
    </w:p>
    <w:p w14:paraId="154BC4D5">
      <w:pPr>
        <w:pStyle w:val="13"/>
        <w:numPr>
          <w:ilvl w:val="0"/>
          <w:numId w:val="4"/>
        </w:numPr>
        <w:ind w:firstLineChars="0"/>
        <w:jc w:val="left"/>
        <w:rPr>
          <w:color w:val="auto"/>
          <w:sz w:val="28"/>
          <w:szCs w:val="28"/>
          <w:highlight w:val="none"/>
        </w:rPr>
      </w:pPr>
      <w:r>
        <w:rPr>
          <w:rFonts w:hint="eastAsia"/>
          <w:color w:val="auto"/>
          <w:sz w:val="28"/>
          <w:szCs w:val="28"/>
          <w:highlight w:val="none"/>
        </w:rPr>
        <w:t>支持SSO安全策略，其SSO认证中心包含多个系统跳转资源，通过部门管理以及其下用户管理模块，实现专岗专人专权的精确、登录分流，确保灾备系统的安全使用。</w:t>
      </w:r>
    </w:p>
    <w:p w14:paraId="6918240C">
      <w:pPr>
        <w:widowControl/>
        <w:numPr>
          <w:ilvl w:val="0"/>
          <w:numId w:val="1"/>
        </w:numPr>
        <w:ind w:firstLine="0"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报价与预算</w:t>
      </w:r>
    </w:p>
    <w:p w14:paraId="5EF5BE0E">
      <w:pPr>
        <w:pStyle w:val="6"/>
        <w:widowControl/>
        <w:wordWrap w:val="0"/>
        <w:rPr>
          <w:rFonts w:hint="default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 预算金额</w:t>
      </w:r>
    </w:p>
    <w:p w14:paraId="5BE63F0B">
      <w:pPr>
        <w:pStyle w:val="6"/>
        <w:widowControl/>
        <w:wordWrap w:val="0"/>
        <w:rPr>
          <w:rFonts w:hint="default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本项目总预算为35万元，报价不得超过该金额，报价包含安装调试费、所有接口费以及功能升级等费用。</w:t>
      </w:r>
    </w:p>
    <w:p w14:paraId="7AFD45E6">
      <w:pPr>
        <w:pStyle w:val="6"/>
        <w:widowControl/>
        <w:wordWrap w:val="0"/>
        <w:rPr>
          <w:rFonts w:hint="default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5.2 报价要求</w:t>
      </w:r>
    </w:p>
    <w:p w14:paraId="1BD5D96A">
      <w:pPr>
        <w:pStyle w:val="6"/>
        <w:widowControl/>
        <w:wordWrap w:val="0"/>
        <w:rPr>
          <w:rFonts w:hint="default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投标人须提供以下分项报价清单：</w:t>
      </w:r>
    </w:p>
    <w:tbl>
      <w:tblPr>
        <w:tblStyle w:val="8"/>
        <w:tblW w:w="941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5"/>
        <w:gridCol w:w="1396"/>
        <w:gridCol w:w="1258"/>
        <w:gridCol w:w="1754"/>
        <w:gridCol w:w="1454"/>
        <w:gridCol w:w="1811"/>
      </w:tblGrid>
      <w:tr w14:paraId="7F714B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6D7B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名称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F8E0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品牌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CDC9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型号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AD17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单价（元）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0202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数量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1B0C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总价（元）</w:t>
            </w:r>
          </w:p>
        </w:tc>
      </w:tr>
      <w:tr w14:paraId="67AA14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576F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A4AB4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EB2D2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C597A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2C89F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976A2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</w:tbl>
    <w:p w14:paraId="025D87D7">
      <w:pPr>
        <w:widowControl/>
        <w:numPr>
          <w:ilvl w:val="0"/>
          <w:numId w:val="1"/>
        </w:numPr>
        <w:ind w:firstLine="0"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投标文件要求</w:t>
      </w:r>
    </w:p>
    <w:p w14:paraId="0881EF5C">
      <w:pPr>
        <w:pStyle w:val="6"/>
        <w:widowControl/>
        <w:wordWrap w:val="0"/>
        <w:rPr>
          <w:rFonts w:hint="default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营业执照复印件（加盖公章）；</w:t>
      </w:r>
    </w:p>
    <w:p w14:paraId="52FEC52E">
      <w:pPr>
        <w:pStyle w:val="6"/>
        <w:widowControl/>
        <w:wordWrap w:val="0"/>
        <w:rPr>
          <w:rFonts w:hint="default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产品检测报告等相关资质文件；</w:t>
      </w:r>
    </w:p>
    <w:p w14:paraId="6F43DB00">
      <w:pPr>
        <w:pStyle w:val="6"/>
        <w:widowControl/>
        <w:wordWrap w:val="0"/>
        <w:rPr>
          <w:rFonts w:hint="default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售后服务承诺函（明确响应时间、服务内容、联系方式）；</w:t>
      </w:r>
    </w:p>
    <w:p w14:paraId="002B9CA2">
      <w:pPr>
        <w:pStyle w:val="6"/>
        <w:widowControl/>
        <w:wordWrap w:val="0"/>
        <w:rPr>
          <w:rFonts w:hint="default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完整的报价清单及项目实施方案。</w:t>
      </w:r>
    </w:p>
    <w:p w14:paraId="33AD170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1C1618"/>
    <w:multiLevelType w:val="singleLevel"/>
    <w:tmpl w:val="991C161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F2F6377E"/>
    <w:multiLevelType w:val="singleLevel"/>
    <w:tmpl w:val="F2F6377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FA0C1A98"/>
    <w:multiLevelType w:val="singleLevel"/>
    <w:tmpl w:val="FA0C1A98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">
    <w:nsid w:val="6C0CEF8F"/>
    <w:multiLevelType w:val="singleLevel"/>
    <w:tmpl w:val="6C0CEF8F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1E0374"/>
    <w:rsid w:val="00035FF1"/>
    <w:rsid w:val="00104D09"/>
    <w:rsid w:val="00155822"/>
    <w:rsid w:val="001640F9"/>
    <w:rsid w:val="00170912"/>
    <w:rsid w:val="001E0CCE"/>
    <w:rsid w:val="001F5FB1"/>
    <w:rsid w:val="00296608"/>
    <w:rsid w:val="00323979"/>
    <w:rsid w:val="003C7144"/>
    <w:rsid w:val="004652E8"/>
    <w:rsid w:val="005144D3"/>
    <w:rsid w:val="00534EFF"/>
    <w:rsid w:val="005352C7"/>
    <w:rsid w:val="0063065A"/>
    <w:rsid w:val="00662C32"/>
    <w:rsid w:val="006973DE"/>
    <w:rsid w:val="006C327C"/>
    <w:rsid w:val="006D18C1"/>
    <w:rsid w:val="006D52B1"/>
    <w:rsid w:val="00733B6F"/>
    <w:rsid w:val="0074105D"/>
    <w:rsid w:val="007544E2"/>
    <w:rsid w:val="00773031"/>
    <w:rsid w:val="00776AE3"/>
    <w:rsid w:val="00777F89"/>
    <w:rsid w:val="00784650"/>
    <w:rsid w:val="007870D6"/>
    <w:rsid w:val="00926212"/>
    <w:rsid w:val="009350AB"/>
    <w:rsid w:val="009551B3"/>
    <w:rsid w:val="009D6984"/>
    <w:rsid w:val="00A3027F"/>
    <w:rsid w:val="00A50B89"/>
    <w:rsid w:val="00AF07A1"/>
    <w:rsid w:val="00AF7349"/>
    <w:rsid w:val="00B21296"/>
    <w:rsid w:val="00BB6DA0"/>
    <w:rsid w:val="00BF0587"/>
    <w:rsid w:val="00C21B83"/>
    <w:rsid w:val="00C944CA"/>
    <w:rsid w:val="00CA19F3"/>
    <w:rsid w:val="00CD0B94"/>
    <w:rsid w:val="00D15B09"/>
    <w:rsid w:val="00E901BD"/>
    <w:rsid w:val="00EB1457"/>
    <w:rsid w:val="00F620C2"/>
    <w:rsid w:val="00F938EC"/>
    <w:rsid w:val="27400F37"/>
    <w:rsid w:val="2A043957"/>
    <w:rsid w:val="2D051E2B"/>
    <w:rsid w:val="3E2A29D9"/>
    <w:rsid w:val="41DC44BB"/>
    <w:rsid w:val="47965E49"/>
    <w:rsid w:val="721E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24"/>
    </w:rPr>
  </w:style>
  <w:style w:type="paragraph" w:styleId="4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采购需求样式"/>
    <w:qFormat/>
    <w:uiPriority w:val="0"/>
    <w:pPr>
      <w:spacing w:before="47" w:line="222" w:lineRule="auto"/>
      <w:ind w:firstLine="562" w:firstLineChars="200"/>
      <w:outlineLvl w:val="1"/>
    </w:pPr>
    <w:rPr>
      <w:rFonts w:hint="eastAsia" w:ascii="宋体" w:hAnsi="宋体" w:eastAsia="宋体" w:cs="Times New Roman"/>
      <w:b/>
      <w:color w:val="000000"/>
      <w:sz w:val="28"/>
      <w:szCs w:val="28"/>
      <w:lang w:val="en-US" w:eastAsia="zh-CN" w:bidi="ar-SA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4">
    <w:name w:val="页眉 Char"/>
    <w:basedOn w:val="10"/>
    <w:link w:val="5"/>
    <w:qFormat/>
    <w:uiPriority w:val="0"/>
    <w:rPr>
      <w:kern w:val="2"/>
      <w:sz w:val="18"/>
      <w:szCs w:val="18"/>
    </w:rPr>
  </w:style>
  <w:style w:type="character" w:customStyle="1" w:styleId="15">
    <w:name w:val="页脚 Char"/>
    <w:basedOn w:val="10"/>
    <w:link w:val="4"/>
    <w:qFormat/>
    <w:uiPriority w:val="0"/>
    <w:rPr>
      <w:kern w:val="2"/>
      <w:sz w:val="18"/>
      <w:szCs w:val="18"/>
    </w:rPr>
  </w:style>
  <w:style w:type="paragraph" w:customStyle="1" w:styleId="16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1553</Words>
  <Characters>1728</Characters>
  <Lines>13</Lines>
  <Paragraphs>3</Paragraphs>
  <TotalTime>4</TotalTime>
  <ScaleCrop>false</ScaleCrop>
  <LinksUpToDate>false</LinksUpToDate>
  <CharactersWithSpaces>1832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2025-09-08T02:44:00Z</dcterms:created>
  <dc:creator>一</dc:creator>
  <cp:lastModifiedBy>一</cp:lastModifiedBy>
  <dcterms:modified xsi:type="dcterms:W3CDTF">2025-09-09T08:20:15Z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18FDA1BCF5D44F31B4BE249420568525_13</vt:lpwstr>
  </property>
  <property fmtid="{D5CDD505-2E9C-101B-9397-08002B2CF9AE}" pid="4" name="KSOTemplateDocerSaveRecord">
    <vt:lpwstr>eyJoZGlkIjoiZmNmMmM4NWVjMzA5NWEzYjk2YjY4YjRlNjhjZTUyYWUiLCJ1c2VySWQiOiI3MzA3MzUzMjIifQ==</vt:lpwstr>
  </property>
</Properties>
</file>