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3674">
      <w:pPr>
        <w:pStyle w:val="20"/>
        <w:rPr>
          <w:b/>
          <w:bCs/>
          <w:sz w:val="72"/>
          <w:szCs w:val="144"/>
        </w:rPr>
      </w:pPr>
    </w:p>
    <w:p w14:paraId="74A5B07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采购需求文件</w:t>
      </w:r>
    </w:p>
    <w:p w14:paraId="136FCB81"/>
    <w:p w14:paraId="42DEDA85">
      <w:pPr>
        <w:pStyle w:val="12"/>
        <w:spacing w:before="120" w:line="298" w:lineRule="auto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</w:rPr>
        <w:t xml:space="preserve">                     </w:t>
      </w:r>
    </w:p>
    <w:p w14:paraId="7A72052B">
      <w:pPr>
        <w:pStyle w:val="12"/>
        <w:spacing w:before="120" w:line="298" w:lineRule="auto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</w:rPr>
      </w:pPr>
    </w:p>
    <w:p w14:paraId="033D2F32">
      <w:pPr>
        <w:pStyle w:val="12"/>
        <w:spacing w:before="120" w:line="298" w:lineRule="auto"/>
        <w:ind w:firstLine="417" w:firstLineChars="128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调查方式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：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□咨询；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□论证；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☑市场征集；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5D484C48">
      <w:pPr>
        <w:pStyle w:val="12"/>
        <w:spacing w:before="88" w:line="183" w:lineRule="auto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39A34C10">
      <w:pPr>
        <w:pStyle w:val="12"/>
        <w:spacing w:before="88" w:line="183" w:lineRule="auto"/>
        <w:ind w:firstLine="419" w:firstLineChars="131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：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☑服务；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8A9CD7D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353D1FC9">
      <w:pPr>
        <w:pStyle w:val="12"/>
        <w:spacing w:before="261" w:line="184" w:lineRule="auto"/>
        <w:ind w:left="40" w:firstLine="379" w:firstLineChars="12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>需求部门 ：  信息技术科</w:t>
      </w:r>
    </w:p>
    <w:p w14:paraId="04F920AA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6466C789">
      <w:pPr>
        <w:tabs>
          <w:tab w:val="left" w:pos="1045"/>
        </w:tabs>
        <w:ind w:firstLine="420" w:firstLineChars="132"/>
        <w:jc w:val="left"/>
        <w:outlineLvl w:val="0"/>
        <w:rPr>
          <w:rFonts w:eastAsia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>项目名称 ：  网络安全设备软硬件维保</w:t>
      </w:r>
    </w:p>
    <w:p w14:paraId="1EED8D4C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29510A3">
      <w:pPr>
        <w:pStyle w:val="88"/>
        <w:spacing w:before="0" w:line="240" w:lineRule="auto"/>
        <w:ind w:firstLine="0" w:firstLineChars="0"/>
        <w:jc w:val="both"/>
        <w:rPr>
          <w:rFonts w:cs="宋体"/>
          <w:bCs/>
        </w:rPr>
      </w:pPr>
      <w:r>
        <w:rPr>
          <w:rFonts w:cs="宋体"/>
          <w:bCs/>
        </w:rPr>
        <w:t>一、</w:t>
      </w:r>
      <w:r>
        <w:rPr>
          <w:rFonts w:cs="宋体"/>
          <w:bCs/>
          <w:color w:val="auto"/>
          <w:spacing w:val="-5"/>
          <w:kern w:val="2"/>
        </w:rPr>
        <w:t>项目概述</w:t>
      </w:r>
    </w:p>
    <w:p w14:paraId="0BAC28AA">
      <w:pPr>
        <w:widowControl/>
        <w:ind w:left="840" w:leftChars="4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网络安全设备软硬件维保服务采购</w:t>
      </w:r>
    </w:p>
    <w:p w14:paraId="66A0C75D">
      <w:pPr>
        <w:tabs>
          <w:tab w:val="left" w:pos="1045"/>
        </w:tabs>
        <w:ind w:firstLine="840" w:firstLineChars="300"/>
        <w:rPr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服务目标：</w:t>
      </w:r>
      <w:r>
        <w:rPr>
          <w:rFonts w:hint="eastAsia"/>
          <w:sz w:val="28"/>
          <w:szCs w:val="28"/>
        </w:rPr>
        <w:t>为切实保障我院网络系统稳定运行与核心业务持续安全，筑牢医院数字化诊疗与数据安全防线，故需采购网络安全设备升级续保服务，一是通过升级续保服务，可实现全院网络安全设备系统软件版本的及时、有效更新，确保设备始终具备最新安全防护能力，能够精准识别潜在网络威胁、主动阻断异常访问行为，从源头降低网络攻击、数据泄露等安全风险；二是项目服务期内，若设备出现硬件故障或功能异常，可享受免费专业维修服务，避免因设备故障导致防护断层；三是为保障业务连续性，在设备维修期间，服务方将提供不低于故障设备型号性能的备用设备，确保网络安全防护体系不中断，切实维护医院诊疗业务、行政办公、数据传输等全场景网络安全，为医院高质量发展提供坚实的网络安全保障。</w:t>
      </w:r>
    </w:p>
    <w:p w14:paraId="410D312C">
      <w:pPr>
        <w:ind w:firstLine="840" w:firstLineChars="30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 xml:space="preserve">服务期限：3年  </w:t>
      </w:r>
    </w:p>
    <w:p w14:paraId="655700AB">
      <w:pPr>
        <w:pStyle w:val="88"/>
        <w:spacing w:before="0" w:line="240" w:lineRule="auto"/>
        <w:ind w:firstLine="0" w:firstLineChars="0"/>
        <w:jc w:val="both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cs="宋体"/>
          <w:bCs/>
          <w:lang w:eastAsia="zh-CN"/>
        </w:rPr>
        <w:t>二</w:t>
      </w:r>
      <w:r>
        <w:rPr>
          <w:rFonts w:cs="宋体"/>
          <w:bCs/>
        </w:rPr>
        <w:t>、</w:t>
      </w:r>
      <w:r>
        <w:rPr>
          <w:rFonts w:hint="eastAsia" w:cs="宋体"/>
          <w:bCs/>
          <w:lang w:eastAsia="zh-CN"/>
        </w:rPr>
        <w:t>服务范围</w:t>
      </w:r>
    </w:p>
    <w:p w14:paraId="337F76D8">
      <w:pPr>
        <w:pStyle w:val="88"/>
        <w:spacing w:before="0" w:line="240" w:lineRule="auto"/>
        <w:ind w:left="140" w:firstLine="0" w:firstLineChars="0"/>
        <w:jc w:val="both"/>
        <w:rPr>
          <w:b w:val="0"/>
          <w:bCs/>
        </w:rPr>
      </w:pPr>
      <w:r>
        <w:rPr>
          <w:b w:val="0"/>
          <w:bCs/>
        </w:rPr>
        <w:t>设备清单（需维保设备）：</w:t>
      </w:r>
    </w:p>
    <w:tbl>
      <w:tblPr>
        <w:tblStyle w:val="21"/>
        <w:tblW w:w="8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80"/>
        <w:gridCol w:w="3847"/>
        <w:gridCol w:w="1689"/>
      </w:tblGrid>
      <w:tr w14:paraId="2E8DB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BFEF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0AF0C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BDE0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设备型号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FB49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14:paraId="2032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3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A1E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防火墙系统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C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V3.5/HD-FW-A3-11B5-1  S1A40H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6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</w:tr>
      <w:tr w14:paraId="1692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3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31E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VPN网关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86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HD-FWSSL-E1-1800-1B5-1 SEA01W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90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</w:tr>
      <w:tr w14:paraId="3D05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B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9A0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防火墙系统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9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V3.5/HD-FW-A3-11B5-1 S1A40I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9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</w:tr>
      <w:tr w14:paraId="7AF5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D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0E8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安全运维网关系统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5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V4.0/HD-SGS-Fort-D2-21B5-1 SCA0C8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91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</w:tr>
      <w:tr w14:paraId="6E71D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8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25C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网络空间资产测绘系统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4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UCSM-6011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2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</w:tr>
    </w:tbl>
    <w:p w14:paraId="1E1EBF26">
      <w:pPr>
        <w:tabs>
          <w:tab w:val="left" w:pos="1045"/>
        </w:tabs>
        <w:ind w:firstLine="843" w:firstLineChars="30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</w:p>
    <w:p w14:paraId="03D3E772">
      <w:pPr>
        <w:pStyle w:val="88"/>
        <w:spacing w:before="0" w:line="240" w:lineRule="auto"/>
        <w:ind w:firstLine="0" w:firstLineChars="0"/>
        <w:jc w:val="both"/>
        <w:rPr>
          <w:rFonts w:hint="eastAsia" w:cs="宋体"/>
          <w:bCs/>
          <w:lang w:eastAsia="zh-CN"/>
        </w:rPr>
      </w:pPr>
      <w:r>
        <w:rPr>
          <w:rFonts w:hint="eastAsia" w:cs="宋体"/>
          <w:bCs/>
          <w:lang w:eastAsia="zh-CN"/>
        </w:rPr>
        <w:t>三、</w:t>
      </w:r>
      <w:r>
        <w:rPr>
          <w:rFonts w:hint="default" w:cs="宋体"/>
          <w:bCs/>
          <w:lang w:eastAsia="zh-CN"/>
        </w:rPr>
        <w:t>维保服务内容</w:t>
      </w:r>
    </w:p>
    <w:p w14:paraId="40A9B544">
      <w:pPr>
        <w:numPr>
          <w:ilvl w:val="0"/>
          <w:numId w:val="1"/>
        </w:numPr>
        <w:tabs>
          <w:tab w:val="left" w:pos="1045"/>
        </w:tabs>
        <w:ind w:left="425" w:leftChars="0" w:hanging="425" w:firstLineChars="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远程支持服务</w:t>
      </w:r>
    </w:p>
    <w:p w14:paraId="499BBECE">
      <w:pPr>
        <w:tabs>
          <w:tab w:val="left" w:pos="1045"/>
        </w:tabs>
        <w:ind w:firstLine="560" w:firstLineChars="20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在服务期内，在产品使用过程中由于某种原因导致设备使用出现问题，医院可通过电话方式，将故障情况报告给技术服务中心。工程师将对医院的问题进行诊断解决。</w:t>
      </w:r>
    </w:p>
    <w:p w14:paraId="76F3BB26">
      <w:pPr>
        <w:tabs>
          <w:tab w:val="left" w:pos="1045"/>
        </w:tabs>
        <w:ind w:firstLine="560" w:firstLineChars="20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在服务期内，对医院的请求电话报告后，如不能通过电话解决，工程师将通过远程联机管理解决故障。</w:t>
      </w:r>
    </w:p>
    <w:p w14:paraId="7F5FAA98">
      <w:pPr>
        <w:numPr>
          <w:ilvl w:val="0"/>
          <w:numId w:val="1"/>
        </w:numPr>
        <w:tabs>
          <w:tab w:val="left" w:pos="1045"/>
        </w:tabs>
        <w:ind w:left="425" w:leftChars="0" w:hanging="425" w:firstLineChars="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现场服务</w:t>
      </w:r>
    </w:p>
    <w:p w14:paraId="14208AEC">
      <w:pPr>
        <w:tabs>
          <w:tab w:val="left" w:pos="1045"/>
        </w:tabs>
        <w:ind w:firstLine="560" w:firstLineChars="20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在服务期内，根据用户的问题，通过电话交流或者远程调试无法解决的，</w:t>
      </w:r>
      <w:r>
        <w:rPr>
          <w:rFonts w:hint="eastAsia" w:ascii="宋体" w:hAnsi="宋体" w:eastAsia="宋体" w:cs="Times New Roman"/>
          <w:bCs/>
          <w:color w:val="auto"/>
          <w:kern w:val="0"/>
          <w:sz w:val="28"/>
          <w:szCs w:val="28"/>
        </w:rPr>
        <w:t>乙方工程师在</w:t>
      </w:r>
      <w:r>
        <w:rPr>
          <w:rFonts w:hint="eastAsia" w:ascii="宋体" w:hAnsi="宋体" w:eastAsia="宋体" w:cs="Times New Roman"/>
          <w:bCs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bCs/>
          <w:color w:val="auto"/>
          <w:kern w:val="0"/>
          <w:sz w:val="28"/>
          <w:szCs w:val="28"/>
        </w:rPr>
        <w:t>小时内响应并到现场维护。</w:t>
      </w:r>
      <w:bookmarkStart w:id="0" w:name="_GoBack"/>
      <w:bookmarkEnd w:id="0"/>
    </w:p>
    <w:p w14:paraId="3F7E4365">
      <w:pPr>
        <w:numPr>
          <w:ilvl w:val="0"/>
          <w:numId w:val="1"/>
        </w:numPr>
        <w:tabs>
          <w:tab w:val="left" w:pos="1045"/>
        </w:tabs>
        <w:ind w:left="425" w:leftChars="0" w:hanging="425" w:firstLineChars="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系统软件版本升级</w:t>
      </w:r>
    </w:p>
    <w:p w14:paraId="69EC545A">
      <w:pPr>
        <w:tabs>
          <w:tab w:val="left" w:pos="1045"/>
        </w:tabs>
        <w:ind w:firstLine="560" w:firstLineChars="20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为保障医院业务的稳定性，系统本身不提供自动升级服务。在服务期内，续保产品系统版本出现可升级的新版本时，根据产品性能为医院提供同代版本升级服务。由工程师为医院系统进行配置备份。在不影响业务系统正常运行的情况下，对系统版本进行升级，并完成新系统的配置恢复。新系统上线后，对网络连通性和业务可用性进行测试，保证业务的正常运行。</w:t>
      </w:r>
    </w:p>
    <w:p w14:paraId="2A6CF8A8">
      <w:pPr>
        <w:numPr>
          <w:ilvl w:val="0"/>
          <w:numId w:val="1"/>
        </w:numPr>
        <w:tabs>
          <w:tab w:val="left" w:pos="1045"/>
        </w:tabs>
        <w:ind w:left="425" w:leftChars="0" w:hanging="425" w:firstLineChars="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产品特征库升级服务</w:t>
      </w:r>
    </w:p>
    <w:p w14:paraId="318C1774">
      <w:pPr>
        <w:tabs>
          <w:tab w:val="left" w:pos="1045"/>
        </w:tabs>
        <w:ind w:firstLine="560" w:firstLineChars="20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在服务期内，续保产品对需要升级特征库版本的安全产品，在日常运维的过程中，根据产品的性能将对安全产品的特征库进行定期升级。在可升级的版本范围内，保证特征库及时更新。</w:t>
      </w:r>
    </w:p>
    <w:p w14:paraId="666C8F7C">
      <w:pPr>
        <w:numPr>
          <w:ilvl w:val="0"/>
          <w:numId w:val="1"/>
        </w:numPr>
        <w:tabs>
          <w:tab w:val="left" w:pos="1045"/>
        </w:tabs>
        <w:ind w:left="425" w:leftChars="0" w:hanging="425" w:firstLineChars="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产品保修</w:t>
      </w:r>
    </w:p>
    <w:p w14:paraId="6DC979C9">
      <w:pPr>
        <w:tabs>
          <w:tab w:val="left" w:pos="1045"/>
        </w:tabs>
        <w:ind w:firstLine="560" w:firstLineChars="20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在服务期内，若续保产品出现软硬件故障，需提供免费维修服务。保障医院设备及业务系统的持续可用性。</w:t>
      </w:r>
    </w:p>
    <w:p w14:paraId="655209E1">
      <w:pPr>
        <w:tabs>
          <w:tab w:val="left" w:pos="1045"/>
        </w:tabs>
        <w:ind w:firstLine="560" w:firstLineChars="20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auto"/>
          <w:kern w:val="0"/>
          <w:sz w:val="28"/>
          <w:szCs w:val="28"/>
        </w:rPr>
        <w:t>对于</w:t>
      </w:r>
      <w:r>
        <w:rPr>
          <w:rFonts w:hint="eastAsia" w:ascii="宋体" w:hAnsi="宋体" w:eastAsia="宋体" w:cs="Times New Roman"/>
          <w:bCs/>
          <w:color w:val="auto"/>
          <w:kern w:val="0"/>
          <w:sz w:val="28"/>
          <w:szCs w:val="28"/>
          <w:lang w:val="en-US" w:eastAsia="zh-CN"/>
        </w:rPr>
        <w:t>使用时间</w:t>
      </w:r>
      <w:r>
        <w:rPr>
          <w:rFonts w:hint="eastAsia" w:ascii="宋体" w:hAnsi="宋体" w:eastAsia="宋体" w:cs="Times New Roman"/>
          <w:bCs/>
          <w:color w:val="auto"/>
          <w:kern w:val="0"/>
          <w:sz w:val="28"/>
          <w:szCs w:val="28"/>
        </w:rPr>
        <w:t>超过6年的设备</w:t>
      </w: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，可能在硬件市场上找不到相应的配件进行维修。对于该种情况，提供不低于故障设备型号的备机直至服务期结束。</w:t>
      </w:r>
    </w:p>
    <w:p w14:paraId="1751F24E">
      <w:pPr>
        <w:numPr>
          <w:ilvl w:val="0"/>
          <w:numId w:val="1"/>
        </w:numPr>
        <w:tabs>
          <w:tab w:val="left" w:pos="1045"/>
        </w:tabs>
        <w:ind w:left="425" w:leftChars="0" w:hanging="425" w:firstLineChars="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备机服务</w:t>
      </w:r>
    </w:p>
    <w:p w14:paraId="35D65FB3">
      <w:pPr>
        <w:tabs>
          <w:tab w:val="left" w:pos="1045"/>
        </w:tabs>
        <w:ind w:firstLine="560" w:firstLineChars="20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乙方需具备完善、充足的备机配件库。当医院设备发生故障且短时间内无法修复时，需提供备机服务。在</w:t>
      </w: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  <w:lang w:val="en-US" w:eastAsia="zh-CN"/>
        </w:rPr>
        <w:t>12小时</w:t>
      </w: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内，将备机或备件送至用户现场进行更换。确保业务系统的正常运行。</w:t>
      </w:r>
    </w:p>
    <w:p w14:paraId="6F1ED3ED">
      <w:pPr>
        <w:numPr>
          <w:ilvl w:val="0"/>
          <w:numId w:val="1"/>
        </w:numPr>
        <w:tabs>
          <w:tab w:val="left" w:pos="1045"/>
        </w:tabs>
        <w:ind w:left="425" w:leftChars="0" w:hanging="425" w:firstLineChars="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  <w:lang w:val="en-US" w:eastAsia="zh-CN"/>
        </w:rPr>
        <w:t>定期巡检与服务报告</w:t>
      </w:r>
    </w:p>
    <w:p w14:paraId="6B61416C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质保期内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每季度至少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提供一次免费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  <w:t>系统安全漏洞检测</w:t>
      </w:r>
      <w:r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  <w:lang w:eastAsia="zh-CN"/>
        </w:rPr>
        <w:t>。</w:t>
      </w:r>
    </w:p>
    <w:p w14:paraId="7D591931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每次巡检后提供书面报告，含问题清单与处理建议。</w:t>
      </w:r>
    </w:p>
    <w:p w14:paraId="7C22175D">
      <w:pPr>
        <w:pStyle w:val="88"/>
        <w:spacing w:before="0" w:line="240" w:lineRule="auto"/>
        <w:ind w:firstLine="0" w:firstLineChars="0"/>
        <w:jc w:val="both"/>
        <w:rPr>
          <w:rFonts w:hint="eastAsia" w:cs="宋体"/>
          <w:bCs/>
          <w:lang w:eastAsia="zh-CN"/>
        </w:rPr>
      </w:pPr>
      <w:r>
        <w:rPr>
          <w:rFonts w:hint="eastAsia" w:cs="宋体"/>
          <w:bCs/>
          <w:lang w:eastAsia="zh-CN"/>
        </w:rPr>
        <w:t>四、预算与付款</w:t>
      </w:r>
    </w:p>
    <w:p w14:paraId="42E7339C">
      <w:pPr>
        <w:pStyle w:val="18"/>
        <w:widowControl/>
        <w:wordWrap w:val="0"/>
        <w:ind w:left="1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 预算金额</w:t>
      </w:r>
    </w:p>
    <w:p w14:paraId="3AB3C602">
      <w:pPr>
        <w:pStyle w:val="18"/>
        <w:widowControl/>
        <w:wordWrap w:val="0"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本项目总预算为</w:t>
      </w:r>
      <w:r>
        <w:rPr>
          <w:rFonts w:hint="eastAsia"/>
          <w:color w:val="auto"/>
          <w:sz w:val="28"/>
          <w:szCs w:val="28"/>
          <w:lang w:val="en-US" w:eastAsia="zh-CN"/>
        </w:rPr>
        <w:t>8</w:t>
      </w:r>
      <w:r>
        <w:rPr>
          <w:color w:val="auto"/>
          <w:sz w:val="28"/>
          <w:szCs w:val="28"/>
        </w:rPr>
        <w:t>万元/年，报价不得超过该金额。</w:t>
      </w:r>
    </w:p>
    <w:p w14:paraId="1DC00881">
      <w:pPr>
        <w:pStyle w:val="18"/>
        <w:widowControl/>
        <w:wordWrap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4.2付款方式</w:t>
      </w:r>
    </w:p>
    <w:p w14:paraId="0A4F9B5E">
      <w:pPr>
        <w:pStyle w:val="18"/>
        <w:widowControl/>
        <w:wordWrap w:val="0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按年支付，年度维保结束后支付年度维保金额的100%。</w:t>
      </w:r>
    </w:p>
    <w:p w14:paraId="53BA2753">
      <w:pPr>
        <w:pStyle w:val="88"/>
        <w:spacing w:before="0" w:line="240" w:lineRule="auto"/>
        <w:ind w:firstLine="0" w:firstLineChars="0"/>
        <w:jc w:val="both"/>
        <w:rPr>
          <w:rFonts w:hint="eastAsia" w:cs="宋体"/>
          <w:bCs/>
          <w:lang w:eastAsia="zh-CN"/>
        </w:rPr>
      </w:pPr>
      <w:r>
        <w:rPr>
          <w:rFonts w:hint="eastAsia" w:cs="宋体"/>
          <w:bCs/>
          <w:lang w:eastAsia="zh-CN"/>
        </w:rPr>
        <w:t>五、投标文件要求</w:t>
      </w:r>
    </w:p>
    <w:p w14:paraId="278379CA">
      <w:pPr>
        <w:pStyle w:val="18"/>
        <w:widowControl/>
        <w:wordWrap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营业执照复印件（加盖公章）；</w:t>
      </w:r>
    </w:p>
    <w:p w14:paraId="3A87674E">
      <w:pPr>
        <w:pStyle w:val="18"/>
        <w:widowControl/>
        <w:wordWrap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原厂商售后服务承诺函（明确响应时间、服务内容、联系方式</w:t>
      </w:r>
      <w:r>
        <w:rPr>
          <w:rFonts w:hint="eastAsia"/>
          <w:color w:val="000000"/>
          <w:sz w:val="28"/>
          <w:szCs w:val="28"/>
          <w:lang w:eastAsia="zh-CN"/>
        </w:rPr>
        <w:t>）</w:t>
      </w:r>
      <w:r>
        <w:rPr>
          <w:color w:val="000000"/>
          <w:sz w:val="28"/>
          <w:szCs w:val="28"/>
        </w:rPr>
        <w:t>；</w:t>
      </w:r>
    </w:p>
    <w:p w14:paraId="5DB1BB8D">
      <w:pPr>
        <w:pStyle w:val="18"/>
        <w:widowControl/>
        <w:wordWrap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完整的报价清单。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F4673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C1446AD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1446AD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F518B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F518B7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9559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F41BE2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F41BE2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2B3165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2B3165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EC19D"/>
    <w:multiLevelType w:val="singleLevel"/>
    <w:tmpl w:val="F3DEC1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72A27"/>
    <w:rsid w:val="00192562"/>
    <w:rsid w:val="00192A4A"/>
    <w:rsid w:val="00195027"/>
    <w:rsid w:val="001A53B5"/>
    <w:rsid w:val="001B1CEB"/>
    <w:rsid w:val="001B736F"/>
    <w:rsid w:val="001C0434"/>
    <w:rsid w:val="001D7FC2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3E3CB2"/>
    <w:rsid w:val="004016CC"/>
    <w:rsid w:val="00426CD8"/>
    <w:rsid w:val="004457B3"/>
    <w:rsid w:val="0045610E"/>
    <w:rsid w:val="004C162C"/>
    <w:rsid w:val="004C4481"/>
    <w:rsid w:val="004C7266"/>
    <w:rsid w:val="004D70E3"/>
    <w:rsid w:val="004E44F2"/>
    <w:rsid w:val="004E6FBE"/>
    <w:rsid w:val="00504178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2148C"/>
    <w:rsid w:val="0075439A"/>
    <w:rsid w:val="007660A0"/>
    <w:rsid w:val="00770E74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236FE"/>
    <w:rsid w:val="00A36011"/>
    <w:rsid w:val="00A82ACF"/>
    <w:rsid w:val="00AA3C95"/>
    <w:rsid w:val="00AA4DF9"/>
    <w:rsid w:val="00AD7490"/>
    <w:rsid w:val="00AF4985"/>
    <w:rsid w:val="00B079B7"/>
    <w:rsid w:val="00B131E9"/>
    <w:rsid w:val="00B2086F"/>
    <w:rsid w:val="00B44E3A"/>
    <w:rsid w:val="00B64FF6"/>
    <w:rsid w:val="00B678FD"/>
    <w:rsid w:val="00BB27C4"/>
    <w:rsid w:val="00BB7CF1"/>
    <w:rsid w:val="00BD0844"/>
    <w:rsid w:val="00BD3A07"/>
    <w:rsid w:val="00BE60E7"/>
    <w:rsid w:val="00BE7BED"/>
    <w:rsid w:val="00C1716E"/>
    <w:rsid w:val="00C4197A"/>
    <w:rsid w:val="00C41B10"/>
    <w:rsid w:val="00C500CF"/>
    <w:rsid w:val="00C50EC1"/>
    <w:rsid w:val="00C5478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930E3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E4CF8"/>
    <w:rsid w:val="00FF2125"/>
    <w:rsid w:val="00FF6BCC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B8D183B"/>
    <w:rsid w:val="1C0A0424"/>
    <w:rsid w:val="1C347356"/>
    <w:rsid w:val="1C7723FF"/>
    <w:rsid w:val="1CAC4FF0"/>
    <w:rsid w:val="1D2A5FA7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901708"/>
    <w:rsid w:val="21C4406F"/>
    <w:rsid w:val="21DE0C9C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CE85239"/>
    <w:rsid w:val="3DB9647C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44341B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CA459BA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3FA0548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kern w:val="44"/>
      <w:sz w:val="28"/>
      <w:szCs w:val="48"/>
      <w:lang w:val="en-US" w:eastAsia="zh-CN" w:bidi="ar-SA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字符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字符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字符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字符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  <w:lang w:val="en-US" w:eastAsia="zh-CN" w:bidi="ar-SA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1460</Characters>
  <Lines>11</Lines>
  <Paragraphs>3</Paragraphs>
  <TotalTime>20</TotalTime>
  <ScaleCrop>false</ScaleCrop>
  <LinksUpToDate>false</LinksUpToDate>
  <CharactersWithSpaces>1510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一</cp:lastModifiedBy>
  <cp:lastPrinted>2021-10-28T05:46:00Z</cp:lastPrinted>
  <dcterms:modified xsi:type="dcterms:W3CDTF">2025-09-08T04:13:13Z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2BECDEF9C23E4DF59D54AABB74005DD5_13</vt:lpwstr>
  </property>
  <property fmtid="{D5CDD505-2E9C-101B-9397-08002B2CF9AE}" pid="4" name="KSOTemplateDocerSaveRecord">
    <vt:lpwstr>eyJoZGlkIjoiZmNmMmM4NWVjMzA5NWEzYjk2YjY4YjRlNjhjZTUyYWUiLCJ1c2VySWQiOiI3MzA3MzUzMjIifQ==</vt:lpwstr>
  </property>
</Properties>
</file>