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E2AAD">
      <w:pPr>
        <w:tabs>
          <w:tab w:val="left" w:pos="1045"/>
        </w:tabs>
        <w:jc w:val="both"/>
        <w:rPr>
          <w:rFonts w:hint="default" w:ascii="黑体" w:hAnsi="黑体" w:eastAsia="黑体" w:cs="黑体"/>
          <w:b/>
          <w:bCs/>
          <w:spacing w:val="-5"/>
          <w:kern w:val="2"/>
          <w:sz w:val="28"/>
          <w:szCs w:val="28"/>
          <w:lang w:val="en-US" w:eastAsia="zh-CN" w:bidi="ar-SA"/>
        </w:rPr>
      </w:pPr>
      <w:r>
        <w:rPr>
          <w:rFonts w:hint="eastAsia" w:ascii="黑体" w:hAnsi="黑体" w:eastAsia="黑体" w:cs="黑体"/>
          <w:b/>
          <w:bCs/>
          <w:spacing w:val="-5"/>
          <w:kern w:val="2"/>
          <w:sz w:val="28"/>
          <w:szCs w:val="28"/>
          <w:lang w:val="en-US" w:eastAsia="zh-CN" w:bidi="ar-SA"/>
        </w:rPr>
        <w:t>附件1：电动自行车充电桩合作项目</w:t>
      </w:r>
      <w:r>
        <w:rPr>
          <w:rFonts w:hint="eastAsia" w:ascii="黑体" w:hAnsi="黑体" w:eastAsia="黑体" w:cs="黑体"/>
          <w:b/>
          <w:bCs/>
          <w:spacing w:val="-5"/>
          <w:kern w:val="2"/>
          <w:sz w:val="28"/>
          <w:szCs w:val="28"/>
          <w:lang w:val="en-US" w:eastAsia="zh-CN" w:bidi="ar-SA"/>
        </w:rPr>
        <w:t>需求</w:t>
      </w:r>
    </w:p>
    <w:p w14:paraId="6F6E7F7E">
      <w:pPr>
        <w:numPr>
          <w:ilvl w:val="0"/>
          <w:numId w:val="0"/>
        </w:numPr>
        <w:tabs>
          <w:tab w:val="left" w:pos="1045"/>
        </w:tabs>
        <w:snapToGrid/>
        <w:spacing w:before="200" w:beforeAutospacing="0" w:after="200" w:afterAutospacing="0" w:line="240" w:lineRule="auto"/>
        <w:ind w:left="0" w:leftChars="0" w:right="0" w:rightChars="0" w:firstLine="462" w:firstLineChars="200"/>
        <w:jc w:val="left"/>
        <w:outlineLvl w:val="0"/>
        <w:rPr>
          <w:rFonts w:hint="eastAsia" w:ascii="宋体" w:eastAsia="宋体" w:hAnsiTheme="minorEastAsia" w:cstheme="minorEastAsia"/>
          <w:b/>
          <w:bCs/>
          <w:spacing w:val="-5"/>
          <w:kern w:val="2"/>
          <w:sz w:val="24"/>
          <w:szCs w:val="28"/>
          <w:lang w:val="en-US" w:eastAsia="zh-CN" w:bidi="ar-SA"/>
        </w:rPr>
      </w:pPr>
    </w:p>
    <w:p w14:paraId="3794CB9B">
      <w:pPr>
        <w:numPr>
          <w:ilvl w:val="0"/>
          <w:numId w:val="0"/>
        </w:numPr>
        <w:tabs>
          <w:tab w:val="left" w:pos="1045"/>
        </w:tabs>
        <w:snapToGrid/>
        <w:spacing w:before="200" w:beforeAutospacing="0" w:after="200" w:afterAutospacing="0" w:line="240" w:lineRule="auto"/>
        <w:ind w:left="0" w:leftChars="0" w:right="0" w:rightChars="0" w:firstLine="462" w:firstLineChars="200"/>
        <w:jc w:val="left"/>
        <w:outlineLvl w:val="0"/>
        <w:rPr>
          <w:rFonts w:hint="eastAsia" w:ascii="宋体" w:hAnsi="宋体"/>
          <w:sz w:val="24"/>
          <w:lang w:val="en-US" w:eastAsia="zh-CN"/>
        </w:rPr>
      </w:pPr>
      <w:r>
        <w:rPr>
          <w:rFonts w:hint="eastAsia" w:ascii="宋体" w:eastAsia="宋体" w:hAnsiTheme="minorEastAsia" w:cstheme="minorEastAsia"/>
          <w:b/>
          <w:bCs/>
          <w:spacing w:val="-5"/>
          <w:kern w:val="2"/>
          <w:sz w:val="24"/>
          <w:szCs w:val="28"/>
          <w:lang w:val="en-US" w:eastAsia="zh-CN" w:bidi="ar-SA"/>
        </w:rPr>
        <w:t>一、项目背景</w:t>
      </w:r>
    </w:p>
    <w:p w14:paraId="3C4E175D">
      <w:pPr>
        <w:adjustRightInd w:val="0"/>
        <w:snapToGrid w:val="0"/>
        <w:spacing w:line="360" w:lineRule="auto"/>
        <w:ind w:firstLine="480" w:firstLineChars="200"/>
        <w:jc w:val="left"/>
        <w:rPr>
          <w:rFonts w:hint="default" w:ascii="宋体" w:hAnsi="宋体"/>
          <w:sz w:val="24"/>
          <w:lang w:val="en-US" w:eastAsia="zh-CN"/>
        </w:rPr>
      </w:pPr>
      <w:r>
        <w:rPr>
          <w:rFonts w:hint="default" w:ascii="宋体" w:hAnsi="宋体"/>
          <w:sz w:val="24"/>
          <w:lang w:val="en-US" w:eastAsia="zh-CN"/>
        </w:rPr>
        <w:t>为解决医院职工及患者两轮电动</w:t>
      </w:r>
      <w:bookmarkStart w:id="1" w:name="_GoBack"/>
      <w:bookmarkEnd w:id="1"/>
      <w:r>
        <w:rPr>
          <w:rFonts w:hint="default" w:ascii="宋体" w:hAnsi="宋体"/>
          <w:sz w:val="24"/>
          <w:lang w:val="en-US" w:eastAsia="zh-CN"/>
        </w:rPr>
        <w:t>车充电需求，消除私拉电线安全隐患，中国铁塔公司拟在城北院区车棚区域投资建设智能化充电设施，提供安全、规范的充电服务。</w:t>
      </w:r>
    </w:p>
    <w:p w14:paraId="34A04B16">
      <w:pPr>
        <w:numPr>
          <w:ilvl w:val="0"/>
          <w:numId w:val="0"/>
        </w:numPr>
        <w:tabs>
          <w:tab w:val="left" w:pos="1045"/>
        </w:tabs>
        <w:snapToGrid/>
        <w:spacing w:before="200" w:beforeAutospacing="0" w:after="200" w:afterAutospacing="0" w:line="240" w:lineRule="auto"/>
        <w:ind w:left="0" w:leftChars="0" w:right="0" w:rightChars="0" w:firstLine="462" w:firstLineChars="200"/>
        <w:jc w:val="left"/>
        <w:outlineLvl w:val="0"/>
        <w:rPr>
          <w:rFonts w:hint="default" w:ascii="宋体" w:eastAsia="宋体" w:hAnsiTheme="minorEastAsia" w:cstheme="minorEastAsia"/>
          <w:b/>
          <w:bCs/>
          <w:spacing w:val="-5"/>
          <w:kern w:val="2"/>
          <w:sz w:val="24"/>
          <w:szCs w:val="28"/>
          <w:lang w:val="en-US" w:eastAsia="zh-CN" w:bidi="ar-SA"/>
        </w:rPr>
      </w:pPr>
      <w:r>
        <w:rPr>
          <w:rFonts w:hint="eastAsia" w:ascii="宋体" w:eastAsia="宋体" w:hAnsiTheme="minorEastAsia" w:cstheme="minorEastAsia"/>
          <w:b/>
          <w:bCs/>
          <w:spacing w:val="-5"/>
          <w:kern w:val="2"/>
          <w:sz w:val="24"/>
          <w:szCs w:val="28"/>
          <w:lang w:val="en-US" w:eastAsia="zh-CN" w:bidi="ar-SA"/>
        </w:rPr>
        <w:t xml:space="preserve">二、建设方案 </w:t>
      </w:r>
    </w:p>
    <w:p w14:paraId="0A881A97">
      <w:pPr>
        <w:adjustRightInd w:val="0"/>
        <w:snapToGrid w:val="0"/>
        <w:spacing w:line="360" w:lineRule="auto"/>
        <w:ind w:firstLine="480" w:firstLineChars="200"/>
        <w:jc w:val="left"/>
        <w:rPr>
          <w:rFonts w:hint="default" w:ascii="宋体" w:hAnsi="宋体"/>
          <w:sz w:val="24"/>
          <w:lang w:val="en-US" w:eastAsia="zh-CN"/>
        </w:rPr>
      </w:pPr>
      <w:bookmarkStart w:id="0" w:name="ref_2"/>
      <w:bookmarkEnd w:id="0"/>
      <w:r>
        <w:rPr>
          <w:rFonts w:hint="eastAsia" w:ascii="宋体" w:hAnsi="宋体"/>
          <w:sz w:val="24"/>
          <w:lang w:val="en-US" w:eastAsia="zh-CN"/>
        </w:rPr>
        <w:t>1.建设规模：预估新建330个两轮电动车充电端口（覆盖现有车棚区域），配套新增1处约300-平方米车棚以满足点位布局需求，并铺设总长约1238米的电力设施（从最近搭火点引电）。建设单位需在每个点位安装监控设施，保障充电安全。</w:t>
      </w:r>
    </w:p>
    <w:p w14:paraId="7BB679FF">
      <w:pPr>
        <w:adjustRightInd w:val="0"/>
        <w:snapToGrid w:val="0"/>
        <w:spacing w:line="360" w:lineRule="auto"/>
        <w:ind w:firstLine="480" w:firstLineChars="200"/>
        <w:jc w:val="left"/>
        <w:rPr>
          <w:rFonts w:hint="eastAsia" w:ascii="宋体" w:hAnsi="宋体"/>
          <w:sz w:val="24"/>
          <w:lang w:val="en-US" w:eastAsia="zh-CN"/>
        </w:rPr>
      </w:pPr>
      <w:r>
        <w:rPr>
          <w:rFonts w:hint="eastAsia" w:ascii="宋体" w:hAnsi="宋体"/>
          <w:sz w:val="24"/>
          <w:lang w:val="en-US" w:eastAsia="zh-CN"/>
        </w:rPr>
        <w:t>2.场地实景照片</w:t>
      </w:r>
    </w:p>
    <w:p w14:paraId="52C1EB6B">
      <w:pPr>
        <w:adjustRightInd w:val="0"/>
        <w:snapToGrid w:val="0"/>
        <w:spacing w:line="360" w:lineRule="auto"/>
        <w:ind w:firstLine="480" w:firstLineChars="200"/>
        <w:jc w:val="left"/>
        <w:rPr>
          <w:rFonts w:hint="eastAsia" w:ascii="宋体" w:hAnsi="宋体"/>
          <w:sz w:val="24"/>
          <w:lang w:val="en-US" w:eastAsia="zh-CN"/>
        </w:rPr>
      </w:pPr>
      <w:r>
        <w:rPr>
          <w:rFonts w:hint="eastAsia" w:ascii="宋体" w:hAnsi="宋体"/>
          <w:sz w:val="24"/>
          <w:lang w:val="en-US" w:eastAsia="zh-CN"/>
        </w:rPr>
        <w:drawing>
          <wp:inline distT="0" distB="0" distL="114300" distR="114300">
            <wp:extent cx="4885690" cy="4433570"/>
            <wp:effectExtent l="0" t="0" r="10160" b="5080"/>
            <wp:docPr id="2" name="图片 2" descr="WPS拼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拼图0"/>
                    <pic:cNvPicPr>
                      <a:picLocks noChangeAspect="1"/>
                    </pic:cNvPicPr>
                  </pic:nvPicPr>
                  <pic:blipFill>
                    <a:blip r:embed="rId6"/>
                    <a:stretch>
                      <a:fillRect/>
                    </a:stretch>
                  </pic:blipFill>
                  <pic:spPr>
                    <a:xfrm>
                      <a:off x="0" y="0"/>
                      <a:ext cx="4885690" cy="4433570"/>
                    </a:xfrm>
                    <a:prstGeom prst="rect">
                      <a:avLst/>
                    </a:prstGeom>
                  </pic:spPr>
                </pic:pic>
              </a:graphicData>
            </a:graphic>
          </wp:inline>
        </w:drawing>
      </w:r>
      <w:r>
        <w:rPr>
          <w:rFonts w:hint="eastAsia" w:ascii="宋体" w:hAnsi="宋体"/>
          <w:sz w:val="24"/>
          <w:lang w:val="en-US" w:eastAsia="zh-CN"/>
        </w:rPr>
        <w:t xml:space="preserve">     </w:t>
      </w:r>
    </w:p>
    <w:p w14:paraId="38DE1A38">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eastAsia" w:ascii="宋体" w:eastAsia="宋体" w:hAnsiTheme="minorEastAsia" w:cstheme="minorEastAsia"/>
          <w:b w:val="0"/>
          <w:bCs w:val="0"/>
          <w:iCs/>
          <w:kern w:val="2"/>
          <w:sz w:val="24"/>
          <w:szCs w:val="28"/>
          <w:lang w:val="en-US" w:eastAsia="zh-CN" w:bidi="ar-SA"/>
        </w:rPr>
        <w:t>3.方案要求</w:t>
      </w:r>
    </w:p>
    <w:p w14:paraId="567D535E">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eastAsia" w:ascii="宋体" w:eastAsia="宋体" w:hAnsiTheme="minorEastAsia" w:cstheme="minorEastAsia"/>
          <w:b w:val="0"/>
          <w:bCs w:val="0"/>
          <w:iCs/>
          <w:kern w:val="2"/>
          <w:sz w:val="24"/>
          <w:szCs w:val="28"/>
          <w:lang w:val="en-US" w:eastAsia="zh-CN" w:bidi="ar-SA"/>
        </w:rPr>
        <w:t>供应商提供方案应包含合作方式、运营管理、特色服务、收费、售后等内容的详细说明，另需提供投放设备及产品的具体参数、使用方法、能耗情况等详细资料。供应商需有技术熟练的专职维修人员保持设备稳定、安全、良好运转，包含保证停车点位膜结构设施日常养护或重新建设。</w:t>
      </w:r>
    </w:p>
    <w:p w14:paraId="53A29F00">
      <w:pPr>
        <w:adjustRightInd w:val="0"/>
        <w:snapToGrid w:val="0"/>
        <w:spacing w:line="360" w:lineRule="auto"/>
        <w:ind w:firstLine="480" w:firstLineChars="200"/>
        <w:jc w:val="left"/>
        <w:rPr>
          <w:rFonts w:hint="default" w:ascii="宋体" w:hAnsi="宋体"/>
          <w:sz w:val="24"/>
          <w:lang w:val="en-US" w:eastAsia="zh-CN"/>
        </w:rPr>
      </w:pPr>
      <w:r>
        <w:rPr>
          <w:rFonts w:hint="eastAsia" w:ascii="宋体" w:hAnsi="宋体"/>
          <w:sz w:val="24"/>
          <w:lang w:val="en-US" w:eastAsia="zh-CN"/>
        </w:rPr>
        <w:t xml:space="preserve">             </w:t>
      </w:r>
    </w:p>
    <w:p w14:paraId="268E3584">
      <w:pPr>
        <w:numPr>
          <w:ilvl w:val="0"/>
          <w:numId w:val="0"/>
        </w:numPr>
        <w:tabs>
          <w:tab w:val="left" w:pos="1045"/>
        </w:tabs>
        <w:snapToGrid/>
        <w:spacing w:before="200" w:beforeAutospacing="0" w:after="200" w:afterAutospacing="0" w:line="240" w:lineRule="auto"/>
        <w:ind w:left="0" w:leftChars="0" w:right="0" w:rightChars="0" w:firstLine="462" w:firstLineChars="200"/>
        <w:jc w:val="left"/>
        <w:outlineLvl w:val="0"/>
        <w:rPr>
          <w:rFonts w:hint="default" w:ascii="宋体" w:eastAsia="宋体" w:hAnsiTheme="minorEastAsia" w:cstheme="minorEastAsia"/>
          <w:b/>
          <w:bCs/>
          <w:spacing w:val="-5"/>
          <w:kern w:val="2"/>
          <w:sz w:val="24"/>
          <w:szCs w:val="28"/>
          <w:lang w:val="en-US" w:eastAsia="zh-CN" w:bidi="ar-SA"/>
        </w:rPr>
      </w:pPr>
      <w:r>
        <w:rPr>
          <w:rFonts w:hint="eastAsia" w:ascii="宋体" w:eastAsia="宋体" w:hAnsiTheme="minorEastAsia" w:cstheme="minorEastAsia"/>
          <w:b/>
          <w:bCs/>
          <w:spacing w:val="-5"/>
          <w:kern w:val="2"/>
          <w:sz w:val="24"/>
          <w:szCs w:val="28"/>
          <w:lang w:val="en-US" w:eastAsia="zh-CN" w:bidi="ar-SA"/>
        </w:rPr>
        <w:t>三、</w:t>
      </w:r>
      <w:r>
        <w:rPr>
          <w:rFonts w:hint="default" w:ascii="宋体" w:eastAsia="宋体" w:hAnsiTheme="minorEastAsia" w:cstheme="minorEastAsia"/>
          <w:b/>
          <w:bCs/>
          <w:spacing w:val="-5"/>
          <w:kern w:val="2"/>
          <w:sz w:val="24"/>
          <w:szCs w:val="28"/>
          <w:lang w:val="en-US" w:eastAsia="zh-CN" w:bidi="ar-SA"/>
        </w:rPr>
        <w:t>投资与运维模式</w:t>
      </w:r>
    </w:p>
    <w:tbl>
      <w:tblPr>
        <w:tblStyle w:val="19"/>
        <w:tblW w:w="88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388"/>
        <w:gridCol w:w="7435"/>
      </w:tblGrid>
      <w:tr w14:paraId="5EEEB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80" w:hRule="atLeast"/>
          <w:tblHeader/>
          <w:jc w:val="center"/>
        </w:trPr>
        <w:tc>
          <w:tcPr>
            <w:tcW w:w="1388" w:type="dxa"/>
            <w:tcBorders>
              <w:top w:val="single" w:color="auto" w:sz="4" w:space="0"/>
              <w:left w:val="single" w:color="auto" w:sz="4" w:space="0"/>
              <w:bottom w:val="single" w:color="auto" w:sz="4" w:space="0"/>
              <w:right w:val="single" w:color="auto" w:sz="4" w:space="0"/>
            </w:tcBorders>
            <w:shd w:val="clear" w:color="auto" w:fill="FFFFFF"/>
            <w:tcMar>
              <w:top w:w="150" w:type="dxa"/>
              <w:left w:w="0" w:type="dxa"/>
              <w:bottom w:w="150" w:type="dxa"/>
              <w:right w:w="150" w:type="dxa"/>
            </w:tcMar>
            <w:vAlign w:val="center"/>
          </w:tcPr>
          <w:p w14:paraId="1E8574F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default" w:ascii="宋体" w:hAnsi="宋体"/>
                <w:sz w:val="24"/>
                <w:lang w:val="en-US" w:eastAsia="zh-CN"/>
              </w:rPr>
              <w:t>项目</w:t>
            </w:r>
          </w:p>
        </w:tc>
        <w:tc>
          <w:tcPr>
            <w:tcW w:w="7435" w:type="dxa"/>
            <w:tcBorders>
              <w:top w:val="single" w:color="auto" w:sz="4" w:space="0"/>
              <w:left w:val="single" w:color="auto" w:sz="4" w:space="0"/>
              <w:bottom w:val="single" w:color="auto" w:sz="4" w:space="0"/>
              <w:right w:val="single" w:color="auto" w:sz="4" w:space="0"/>
            </w:tcBorders>
            <w:shd w:val="clear" w:color="auto" w:fill="FFFFFF"/>
            <w:tcMar>
              <w:top w:w="150" w:type="dxa"/>
              <w:left w:w="150" w:type="dxa"/>
              <w:bottom w:w="150" w:type="dxa"/>
              <w:right w:w="150" w:type="dxa"/>
            </w:tcMar>
            <w:vAlign w:val="center"/>
          </w:tcPr>
          <w:p w14:paraId="2C80EB9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default" w:ascii="宋体" w:hAnsi="宋体"/>
                <w:sz w:val="24"/>
                <w:lang w:val="en-US" w:eastAsia="zh-CN"/>
              </w:rPr>
              <w:t>说明</w:t>
            </w:r>
          </w:p>
        </w:tc>
      </w:tr>
      <w:tr w14:paraId="66A5F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5" w:hRule="atLeast"/>
          <w:jc w:val="center"/>
        </w:trPr>
        <w:tc>
          <w:tcPr>
            <w:tcW w:w="1388" w:type="dxa"/>
            <w:tcBorders>
              <w:top w:val="single" w:color="auto" w:sz="4" w:space="0"/>
              <w:left w:val="single" w:color="auto" w:sz="4" w:space="0"/>
              <w:bottom w:val="single" w:color="auto" w:sz="4" w:space="0"/>
              <w:right w:val="single" w:color="auto" w:sz="4" w:space="0"/>
            </w:tcBorders>
            <w:shd w:val="clear" w:color="auto" w:fill="FFFFFF"/>
            <w:tcMar>
              <w:top w:w="150" w:type="dxa"/>
              <w:left w:w="0" w:type="dxa"/>
              <w:bottom w:w="150" w:type="dxa"/>
              <w:right w:w="150" w:type="dxa"/>
            </w:tcMar>
            <w:vAlign w:val="center"/>
          </w:tcPr>
          <w:p w14:paraId="553D27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default" w:ascii="宋体" w:hAnsi="宋体"/>
                <w:sz w:val="24"/>
                <w:lang w:val="en-US" w:eastAsia="zh-CN"/>
              </w:rPr>
              <w:t>投资方</w:t>
            </w:r>
          </w:p>
        </w:tc>
        <w:tc>
          <w:tcPr>
            <w:tcW w:w="7435" w:type="dxa"/>
            <w:tcBorders>
              <w:top w:val="single" w:color="auto" w:sz="4" w:space="0"/>
              <w:left w:val="single" w:color="auto" w:sz="4" w:space="0"/>
              <w:bottom w:val="single" w:color="auto" w:sz="4" w:space="0"/>
              <w:right w:val="single" w:color="auto" w:sz="4" w:space="0"/>
            </w:tcBorders>
            <w:shd w:val="clear" w:color="auto" w:fill="FFFFFF"/>
            <w:tcMar>
              <w:top w:w="150" w:type="dxa"/>
              <w:left w:w="150" w:type="dxa"/>
              <w:bottom w:w="150" w:type="dxa"/>
              <w:right w:w="150" w:type="dxa"/>
            </w:tcMar>
            <w:vAlign w:val="center"/>
          </w:tcPr>
          <w:p w14:paraId="2B50811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eastAsia" w:ascii="宋体" w:hAnsi="宋体"/>
                <w:sz w:val="24"/>
                <w:lang w:val="en-US" w:eastAsia="zh-CN"/>
              </w:rPr>
              <w:t>合作</w:t>
            </w:r>
            <w:r>
              <w:rPr>
                <w:rFonts w:hint="default" w:ascii="宋体" w:hAnsi="宋体"/>
                <w:sz w:val="24"/>
                <w:lang w:val="en-US" w:eastAsia="zh-CN"/>
              </w:rPr>
              <w:t>公司全额投资（医院零投入）</w:t>
            </w:r>
          </w:p>
        </w:tc>
      </w:tr>
      <w:tr w14:paraId="24508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35" w:hRule="atLeast"/>
          <w:jc w:val="center"/>
        </w:trPr>
        <w:tc>
          <w:tcPr>
            <w:tcW w:w="1388" w:type="dxa"/>
            <w:tcBorders>
              <w:top w:val="single" w:color="auto" w:sz="4" w:space="0"/>
              <w:left w:val="single" w:color="auto" w:sz="4" w:space="0"/>
              <w:bottom w:val="single" w:color="auto" w:sz="4" w:space="0"/>
              <w:right w:val="single" w:color="auto" w:sz="4" w:space="0"/>
            </w:tcBorders>
            <w:shd w:val="clear" w:color="auto" w:fill="FFFFFF"/>
            <w:tcMar>
              <w:top w:w="150" w:type="dxa"/>
              <w:left w:w="0" w:type="dxa"/>
              <w:bottom w:w="150" w:type="dxa"/>
              <w:right w:w="150" w:type="dxa"/>
            </w:tcMar>
            <w:vAlign w:val="center"/>
          </w:tcPr>
          <w:p w14:paraId="5E97DE0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default" w:ascii="宋体" w:hAnsi="宋体"/>
                <w:sz w:val="24"/>
                <w:lang w:val="en-US" w:eastAsia="zh-CN"/>
              </w:rPr>
              <w:t>收益分成</w:t>
            </w:r>
          </w:p>
        </w:tc>
        <w:tc>
          <w:tcPr>
            <w:tcW w:w="7435" w:type="dxa"/>
            <w:tcBorders>
              <w:top w:val="single" w:color="auto" w:sz="4" w:space="0"/>
              <w:left w:val="single" w:color="auto" w:sz="4" w:space="0"/>
              <w:bottom w:val="single" w:color="auto" w:sz="4" w:space="0"/>
              <w:right w:val="single" w:color="auto" w:sz="4" w:space="0"/>
            </w:tcBorders>
            <w:shd w:val="clear" w:color="auto" w:fill="FFFFFF"/>
            <w:tcMar>
              <w:top w:w="150" w:type="dxa"/>
              <w:left w:w="150" w:type="dxa"/>
              <w:bottom w:w="150" w:type="dxa"/>
              <w:right w:w="150" w:type="dxa"/>
            </w:tcMar>
            <w:vAlign w:val="center"/>
          </w:tcPr>
          <w:p w14:paraId="6A9C68F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default" w:ascii="宋体" w:hAnsi="宋体"/>
                <w:sz w:val="24"/>
                <w:lang w:val="en-US" w:eastAsia="zh-CN"/>
              </w:rPr>
              <w:t>医院不参与分成，无管理负担</w:t>
            </w:r>
          </w:p>
        </w:tc>
      </w:tr>
      <w:tr w14:paraId="34159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75" w:hRule="atLeast"/>
          <w:jc w:val="center"/>
        </w:trPr>
        <w:tc>
          <w:tcPr>
            <w:tcW w:w="1388" w:type="dxa"/>
            <w:tcBorders>
              <w:top w:val="single" w:color="auto" w:sz="4" w:space="0"/>
              <w:left w:val="single" w:color="auto" w:sz="4" w:space="0"/>
              <w:bottom w:val="single" w:color="auto" w:sz="4" w:space="0"/>
              <w:right w:val="single" w:color="auto" w:sz="4" w:space="0"/>
            </w:tcBorders>
            <w:shd w:val="clear" w:color="auto" w:fill="FFFFFF"/>
            <w:tcMar>
              <w:top w:w="150" w:type="dxa"/>
              <w:left w:w="0" w:type="dxa"/>
              <w:bottom w:w="150" w:type="dxa"/>
              <w:right w:w="150" w:type="dxa"/>
            </w:tcMar>
            <w:vAlign w:val="center"/>
          </w:tcPr>
          <w:p w14:paraId="41FC89E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eastAsia" w:ascii="宋体" w:hAnsi="宋体"/>
                <w:sz w:val="24"/>
                <w:lang w:val="en-US" w:eastAsia="zh-CN"/>
              </w:rPr>
              <w:t>运维模式</w:t>
            </w:r>
          </w:p>
        </w:tc>
        <w:tc>
          <w:tcPr>
            <w:tcW w:w="7435" w:type="dxa"/>
            <w:tcBorders>
              <w:top w:val="single" w:color="auto" w:sz="4" w:space="0"/>
              <w:left w:val="single" w:color="auto" w:sz="4" w:space="0"/>
              <w:bottom w:val="single" w:color="auto" w:sz="4" w:space="0"/>
              <w:right w:val="single" w:color="auto" w:sz="4" w:space="0"/>
            </w:tcBorders>
            <w:shd w:val="clear" w:color="auto" w:fill="FFFFFF"/>
            <w:tcMar>
              <w:top w:w="150" w:type="dxa"/>
              <w:left w:w="150" w:type="dxa"/>
              <w:bottom w:w="150" w:type="dxa"/>
              <w:right w:w="150" w:type="dxa"/>
            </w:tcMar>
            <w:vAlign w:val="center"/>
          </w:tcPr>
          <w:p w14:paraId="6C5F1D6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eastAsia" w:ascii="宋体" w:hAnsi="宋体"/>
                <w:sz w:val="24"/>
                <w:lang w:val="en-US" w:eastAsia="zh-CN"/>
              </w:rPr>
              <w:t>一切运维及安全均有合作公司负责</w:t>
            </w:r>
          </w:p>
        </w:tc>
      </w:tr>
      <w:tr w14:paraId="44552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135" w:hRule="atLeast"/>
          <w:jc w:val="center"/>
        </w:trPr>
        <w:tc>
          <w:tcPr>
            <w:tcW w:w="1388" w:type="dxa"/>
            <w:tcBorders>
              <w:top w:val="single" w:color="auto" w:sz="4" w:space="0"/>
              <w:left w:val="single" w:color="auto" w:sz="4" w:space="0"/>
              <w:bottom w:val="single" w:color="auto" w:sz="4" w:space="0"/>
              <w:right w:val="single" w:color="auto" w:sz="4" w:space="0"/>
            </w:tcBorders>
            <w:shd w:val="clear" w:color="auto" w:fill="FFFFFF"/>
            <w:tcMar>
              <w:top w:w="150" w:type="dxa"/>
              <w:left w:w="0" w:type="dxa"/>
              <w:bottom w:w="150" w:type="dxa"/>
              <w:right w:w="150" w:type="dxa"/>
            </w:tcMar>
            <w:vAlign w:val="center"/>
          </w:tcPr>
          <w:p w14:paraId="636288A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default" w:ascii="宋体" w:hAnsi="宋体"/>
                <w:sz w:val="24"/>
                <w:lang w:val="en-US" w:eastAsia="zh-CN"/>
              </w:rPr>
              <w:t>电费结算</w:t>
            </w:r>
          </w:p>
        </w:tc>
        <w:tc>
          <w:tcPr>
            <w:tcW w:w="7435" w:type="dxa"/>
            <w:tcBorders>
              <w:top w:val="single" w:color="auto" w:sz="4" w:space="0"/>
              <w:left w:val="single" w:color="auto" w:sz="4" w:space="0"/>
              <w:bottom w:val="single" w:color="auto" w:sz="4" w:space="0"/>
              <w:right w:val="single" w:color="auto" w:sz="4" w:space="0"/>
            </w:tcBorders>
            <w:shd w:val="clear" w:color="auto" w:fill="FFFFFF"/>
            <w:tcMar>
              <w:top w:w="150" w:type="dxa"/>
              <w:left w:w="150" w:type="dxa"/>
              <w:bottom w:w="150" w:type="dxa"/>
              <w:right w:w="150" w:type="dxa"/>
            </w:tcMar>
            <w:vAlign w:val="center"/>
          </w:tcPr>
          <w:p w14:paraId="70654CF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sz w:val="24"/>
                <w:lang w:val="en-US" w:eastAsia="zh-CN"/>
              </w:rPr>
            </w:pPr>
            <w:r>
              <w:rPr>
                <w:rFonts w:hint="default" w:ascii="宋体" w:hAnsi="宋体"/>
                <w:sz w:val="24"/>
                <w:lang w:val="en-US" w:eastAsia="zh-CN"/>
              </w:rPr>
              <w:t>优先方案</w:t>
            </w:r>
            <w:r>
              <w:rPr>
                <w:rFonts w:hint="eastAsia" w:ascii="宋体" w:hAnsi="宋体"/>
                <w:sz w:val="24"/>
                <w:lang w:val="en-US" w:eastAsia="zh-CN"/>
              </w:rPr>
              <w:t>：合作公司</w:t>
            </w:r>
            <w:r>
              <w:rPr>
                <w:rFonts w:hint="default" w:ascii="宋体" w:hAnsi="宋体"/>
                <w:sz w:val="24"/>
                <w:lang w:val="en-US" w:eastAsia="zh-CN"/>
              </w:rPr>
              <w:t>向供电局申请子母表（</w:t>
            </w:r>
            <w:r>
              <w:rPr>
                <w:rFonts w:hint="eastAsia" w:ascii="宋体" w:hAnsi="宋体"/>
                <w:sz w:val="24"/>
                <w:lang w:val="en-US" w:eastAsia="zh-CN"/>
              </w:rPr>
              <w:t>电费不会计入我院实际用电量</w:t>
            </w:r>
            <w:r>
              <w:rPr>
                <w:rFonts w:hint="default" w:ascii="宋体" w:hAnsi="宋体"/>
                <w:sz w:val="24"/>
                <w:lang w:val="en-US" w:eastAsia="zh-CN"/>
              </w:rPr>
              <w:t>）；</w:t>
            </w:r>
            <w:r>
              <w:rPr>
                <w:rFonts w:hint="default" w:ascii="宋体" w:hAnsi="宋体"/>
                <w:sz w:val="24"/>
                <w:lang w:val="en-US" w:eastAsia="zh-CN"/>
              </w:rPr>
              <w:br w:type="textWrapping"/>
            </w:r>
            <w:r>
              <w:rPr>
                <w:rFonts w:hint="eastAsia" w:ascii="宋体" w:hAnsi="宋体"/>
                <w:sz w:val="24"/>
                <w:lang w:val="en-US" w:eastAsia="zh-CN"/>
              </w:rPr>
              <w:t>次要方案：</w:t>
            </w:r>
            <w:r>
              <w:rPr>
                <w:rFonts w:hint="default" w:ascii="宋体" w:hAnsi="宋体"/>
                <w:sz w:val="24"/>
                <w:lang w:val="en-US" w:eastAsia="zh-CN"/>
              </w:rPr>
              <w:t>按转供电0.7元/度与医院结算（季度支付）</w:t>
            </w:r>
          </w:p>
        </w:tc>
      </w:tr>
    </w:tbl>
    <w:p w14:paraId="6906BA42">
      <w:pPr>
        <w:adjustRightInd w:val="0"/>
        <w:snapToGrid w:val="0"/>
        <w:spacing w:line="360" w:lineRule="auto"/>
        <w:ind w:firstLine="480" w:firstLineChars="200"/>
        <w:jc w:val="left"/>
        <w:rPr>
          <w:rFonts w:hint="default" w:ascii="宋体" w:hAnsi="宋体"/>
          <w:sz w:val="24"/>
          <w:lang w:val="en-US" w:eastAsia="zh-CN"/>
        </w:rPr>
      </w:pPr>
    </w:p>
    <w:p w14:paraId="22399F78">
      <w:pPr>
        <w:numPr>
          <w:ilvl w:val="0"/>
          <w:numId w:val="0"/>
        </w:numPr>
        <w:tabs>
          <w:tab w:val="left" w:pos="1045"/>
        </w:tabs>
        <w:snapToGrid/>
        <w:spacing w:before="200" w:beforeAutospacing="0" w:after="200" w:afterAutospacing="0" w:line="240" w:lineRule="auto"/>
        <w:ind w:left="0" w:leftChars="0" w:right="0" w:rightChars="0" w:firstLine="462" w:firstLineChars="200"/>
        <w:jc w:val="left"/>
        <w:outlineLvl w:val="0"/>
        <w:rPr>
          <w:rFonts w:hint="default" w:ascii="宋体" w:eastAsia="宋体" w:hAnsiTheme="minorEastAsia" w:cstheme="minorEastAsia"/>
          <w:b/>
          <w:bCs/>
          <w:spacing w:val="-5"/>
          <w:kern w:val="2"/>
          <w:sz w:val="24"/>
          <w:szCs w:val="28"/>
          <w:lang w:val="en-US" w:eastAsia="zh-CN" w:bidi="ar-SA"/>
        </w:rPr>
      </w:pPr>
      <w:r>
        <w:rPr>
          <w:rFonts w:hint="default" w:ascii="宋体" w:eastAsia="宋体" w:hAnsiTheme="minorEastAsia" w:cstheme="minorEastAsia"/>
          <w:b/>
          <w:bCs/>
          <w:spacing w:val="-5"/>
          <w:kern w:val="2"/>
          <w:sz w:val="24"/>
          <w:szCs w:val="28"/>
          <w:lang w:val="en-US" w:eastAsia="zh-CN" w:bidi="ar-SA"/>
        </w:rPr>
        <w:t>四、费用概算</w:t>
      </w:r>
      <w:r>
        <w:rPr>
          <w:rFonts w:hint="eastAsia" w:ascii="宋体" w:eastAsia="宋体" w:hAnsiTheme="minorEastAsia" w:cstheme="minorEastAsia"/>
          <w:b/>
          <w:bCs/>
          <w:spacing w:val="-5"/>
          <w:kern w:val="2"/>
          <w:sz w:val="24"/>
          <w:szCs w:val="28"/>
          <w:lang w:val="en-US" w:eastAsia="zh-CN" w:bidi="ar-SA"/>
        </w:rPr>
        <w:t>及收费</w:t>
      </w:r>
    </w:p>
    <w:p w14:paraId="479881C7">
      <w:pPr>
        <w:adjustRightInd w:val="0"/>
        <w:snapToGrid w:val="0"/>
        <w:spacing w:line="360" w:lineRule="auto"/>
        <w:ind w:firstLine="480" w:firstLineChars="200"/>
        <w:jc w:val="left"/>
        <w:rPr>
          <w:rFonts w:hint="default" w:ascii="宋体" w:hAnsi="宋体"/>
          <w:sz w:val="24"/>
          <w:lang w:val="en-US" w:eastAsia="zh-CN"/>
        </w:rPr>
      </w:pPr>
      <w:r>
        <w:rPr>
          <w:rFonts w:hint="default" w:ascii="宋体" w:hAnsi="宋体"/>
          <w:sz w:val="24"/>
          <w:lang w:val="en-US" w:eastAsia="zh-CN"/>
        </w:rPr>
        <w:t>项目总投资</w:t>
      </w:r>
      <w:r>
        <w:rPr>
          <w:rFonts w:hint="eastAsia" w:ascii="宋体" w:hAnsi="宋体"/>
          <w:sz w:val="24"/>
          <w:lang w:val="en-US" w:eastAsia="zh-CN"/>
        </w:rPr>
        <w:t>估算20万元左右</w:t>
      </w:r>
      <w:r>
        <w:rPr>
          <w:rFonts w:hint="default" w:ascii="宋体" w:hAnsi="宋体"/>
          <w:sz w:val="24"/>
          <w:lang w:val="en-US" w:eastAsia="zh-CN"/>
        </w:rPr>
        <w:t>（含设备、电力工程、车棚建设等全费用）：</w:t>
      </w:r>
    </w:p>
    <w:p w14:paraId="55C354BA">
      <w:pPr>
        <w:adjustRightInd w:val="0"/>
        <w:snapToGrid w:val="0"/>
        <w:spacing w:line="360" w:lineRule="auto"/>
        <w:ind w:firstLine="480" w:firstLineChars="200"/>
        <w:jc w:val="left"/>
        <w:rPr>
          <w:rFonts w:hint="default" w:ascii="宋体" w:hAnsi="宋体"/>
          <w:sz w:val="24"/>
          <w:lang w:val="en-US" w:eastAsia="zh-CN"/>
        </w:rPr>
      </w:pPr>
      <w:r>
        <w:rPr>
          <w:rFonts w:hint="eastAsia" w:ascii="宋体" w:hAnsi="宋体"/>
          <w:sz w:val="24"/>
          <w:lang w:val="en-US" w:eastAsia="zh-CN"/>
        </w:rPr>
        <w:t>收费根据发改委要求全市统一。</w:t>
      </w:r>
    </w:p>
    <w:p w14:paraId="0C807652">
      <w:pPr>
        <w:numPr>
          <w:ilvl w:val="0"/>
          <w:numId w:val="0"/>
        </w:numPr>
        <w:tabs>
          <w:tab w:val="left" w:pos="1045"/>
        </w:tabs>
        <w:snapToGrid/>
        <w:spacing w:before="200" w:beforeAutospacing="0" w:after="200" w:afterAutospacing="0" w:line="240" w:lineRule="auto"/>
        <w:ind w:left="0" w:leftChars="0" w:right="0" w:rightChars="0" w:firstLine="462" w:firstLineChars="200"/>
        <w:jc w:val="left"/>
        <w:outlineLvl w:val="0"/>
        <w:rPr>
          <w:rFonts w:hint="default" w:ascii="宋体" w:eastAsia="宋体" w:hAnsiTheme="minorEastAsia" w:cstheme="minorEastAsia"/>
          <w:b/>
          <w:bCs/>
          <w:spacing w:val="-5"/>
          <w:kern w:val="2"/>
          <w:sz w:val="24"/>
          <w:szCs w:val="28"/>
          <w:lang w:val="en-US" w:eastAsia="zh-CN" w:bidi="ar-SA"/>
        </w:rPr>
      </w:pPr>
      <w:r>
        <w:rPr>
          <w:rFonts w:hint="default" w:ascii="宋体" w:eastAsia="宋体" w:hAnsiTheme="minorEastAsia" w:cstheme="minorEastAsia"/>
          <w:b/>
          <w:bCs/>
          <w:spacing w:val="-5"/>
          <w:kern w:val="2"/>
          <w:sz w:val="24"/>
          <w:szCs w:val="28"/>
          <w:lang w:val="en-US" w:eastAsia="zh-CN" w:bidi="ar-SA"/>
        </w:rPr>
        <w:t>五、项目优势</w:t>
      </w:r>
    </w:p>
    <w:p w14:paraId="081672C2">
      <w:pPr>
        <w:adjustRightInd w:val="0"/>
        <w:snapToGrid w:val="0"/>
        <w:spacing w:line="360" w:lineRule="auto"/>
        <w:ind w:firstLine="480" w:firstLineChars="200"/>
        <w:jc w:val="left"/>
        <w:rPr>
          <w:rFonts w:hint="default" w:ascii="宋体" w:hAnsi="宋体"/>
          <w:sz w:val="24"/>
          <w:lang w:val="en-US" w:eastAsia="zh-CN"/>
        </w:rPr>
      </w:pPr>
      <w:r>
        <w:rPr>
          <w:rFonts w:hint="default" w:ascii="宋体" w:hAnsi="宋体"/>
          <w:sz w:val="24"/>
          <w:lang w:val="en-US" w:eastAsia="zh-CN"/>
        </w:rPr>
        <w:t>安全保障：杜绝私拉电线，降低火灾风险。</w:t>
      </w:r>
    </w:p>
    <w:p w14:paraId="21A91ED2">
      <w:pPr>
        <w:adjustRightInd w:val="0"/>
        <w:snapToGrid w:val="0"/>
        <w:spacing w:line="360" w:lineRule="auto"/>
        <w:ind w:firstLine="480" w:firstLineChars="200"/>
        <w:jc w:val="left"/>
        <w:rPr>
          <w:rFonts w:hint="default" w:ascii="宋体" w:hAnsi="宋体"/>
          <w:sz w:val="24"/>
          <w:lang w:val="en-US" w:eastAsia="zh-CN"/>
        </w:rPr>
      </w:pPr>
      <w:r>
        <w:rPr>
          <w:rFonts w:hint="default" w:ascii="宋体" w:hAnsi="宋体"/>
          <w:sz w:val="24"/>
          <w:lang w:val="en-US" w:eastAsia="zh-CN"/>
        </w:rPr>
        <w:t>零成本落地：医院无需承担建设及运维费用。</w:t>
      </w:r>
    </w:p>
    <w:p w14:paraId="7634058E">
      <w:pPr>
        <w:adjustRightInd w:val="0"/>
        <w:snapToGrid w:val="0"/>
        <w:spacing w:line="360" w:lineRule="auto"/>
        <w:ind w:firstLine="480" w:firstLineChars="200"/>
        <w:jc w:val="left"/>
        <w:rPr>
          <w:rFonts w:hint="default" w:ascii="宋体" w:hAnsi="宋体"/>
          <w:sz w:val="24"/>
          <w:lang w:val="en-US" w:eastAsia="zh-CN"/>
        </w:rPr>
      </w:pPr>
      <w:r>
        <w:rPr>
          <w:rFonts w:hint="default" w:ascii="宋体" w:hAnsi="宋体"/>
          <w:sz w:val="24"/>
          <w:lang w:val="en-US" w:eastAsia="zh-CN"/>
        </w:rPr>
        <w:t>便捷管理：</w:t>
      </w:r>
      <w:r>
        <w:rPr>
          <w:rFonts w:hint="eastAsia" w:ascii="宋体" w:hAnsi="宋体"/>
          <w:sz w:val="24"/>
          <w:lang w:val="en-US" w:eastAsia="zh-CN"/>
        </w:rPr>
        <w:t>由合作公司</w:t>
      </w:r>
      <w:r>
        <w:rPr>
          <w:rFonts w:hint="default" w:ascii="宋体" w:hAnsi="宋体"/>
          <w:sz w:val="24"/>
          <w:lang w:val="en-US" w:eastAsia="zh-CN"/>
        </w:rPr>
        <w:t>主动运维</w:t>
      </w:r>
      <w:r>
        <w:rPr>
          <w:rFonts w:hint="eastAsia" w:ascii="宋体" w:hAnsi="宋体"/>
          <w:sz w:val="24"/>
          <w:lang w:val="en-US" w:eastAsia="zh-CN"/>
        </w:rPr>
        <w:t>省去设施维保费用</w:t>
      </w:r>
      <w:r>
        <w:rPr>
          <w:rFonts w:hint="default" w:ascii="宋体" w:hAnsi="宋体"/>
          <w:sz w:val="24"/>
          <w:lang w:val="en-US" w:eastAsia="zh-CN"/>
        </w:rPr>
        <w:t>。</w:t>
      </w:r>
    </w:p>
    <w:p w14:paraId="3F08167C">
      <w:pPr>
        <w:adjustRightInd w:val="0"/>
        <w:snapToGrid w:val="0"/>
        <w:spacing w:line="360" w:lineRule="auto"/>
        <w:ind w:firstLine="480" w:firstLineChars="200"/>
        <w:jc w:val="left"/>
        <w:rPr>
          <w:rFonts w:hint="default" w:ascii="宋体" w:hAnsi="宋体"/>
          <w:sz w:val="24"/>
          <w:lang w:val="en-US" w:eastAsia="zh-CN"/>
        </w:rPr>
      </w:pPr>
      <w:r>
        <w:rPr>
          <w:rFonts w:hint="default" w:ascii="宋体" w:hAnsi="宋体"/>
          <w:sz w:val="24"/>
          <w:lang w:val="en-US" w:eastAsia="zh-CN"/>
        </w:rPr>
        <w:t>规范收费：电费透明结算，无额外加价。</w:t>
      </w:r>
    </w:p>
    <w:p w14:paraId="6ABE45DA">
      <w:pPr>
        <w:pStyle w:val="2"/>
        <w:ind w:firstLine="482" w:firstLineChars="200"/>
        <w:rPr>
          <w:rFonts w:hint="default" w:ascii="宋体" w:eastAsia="宋体" w:hAnsiTheme="minorEastAsia" w:cstheme="minorEastAsia"/>
          <w:b w:val="0"/>
          <w:bCs w:val="0"/>
          <w:iCs/>
          <w:kern w:val="2"/>
          <w:sz w:val="24"/>
          <w:szCs w:val="28"/>
          <w:lang w:val="en-US" w:eastAsia="zh-CN" w:bidi="ar-SA"/>
        </w:rPr>
      </w:pPr>
      <w:r>
        <w:rPr>
          <w:rFonts w:hint="eastAsia"/>
          <w:sz w:val="24"/>
          <w:szCs w:val="24"/>
          <w:lang w:val="en-US" w:eastAsia="zh-CN"/>
        </w:rPr>
        <w:t>六、合作供应商资格要求</w:t>
      </w:r>
    </w:p>
    <w:p w14:paraId="65C60C5C">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default" w:ascii="宋体" w:eastAsia="宋体" w:hAnsiTheme="minorEastAsia" w:cstheme="minorEastAsia"/>
          <w:b w:val="0"/>
          <w:bCs w:val="0"/>
          <w:iCs/>
          <w:kern w:val="2"/>
          <w:sz w:val="24"/>
          <w:szCs w:val="28"/>
          <w:lang w:val="en-US" w:eastAsia="zh-CN" w:bidi="ar-SA"/>
        </w:rPr>
        <w:t>1.供应商应具备《中华人民共和国政府采购法》第二十二条规定的条件；</w:t>
      </w:r>
    </w:p>
    <w:p w14:paraId="0E135BBF">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default" w:ascii="宋体" w:eastAsia="宋体" w:hAnsiTheme="minorEastAsia" w:cstheme="minorEastAsia"/>
          <w:b w:val="0"/>
          <w:bCs w:val="0"/>
          <w:iCs/>
          <w:kern w:val="2"/>
          <w:sz w:val="24"/>
          <w:szCs w:val="28"/>
          <w:lang w:val="en-US" w:eastAsia="zh-CN" w:bidi="ar-SA"/>
        </w:rPr>
        <w:t>2具有良好的商业信誉和健全的财务会计制度；</w:t>
      </w:r>
    </w:p>
    <w:p w14:paraId="2AA51ACC">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eastAsia" w:ascii="宋体" w:eastAsia="宋体" w:hAnsiTheme="minorEastAsia" w:cstheme="minorEastAsia"/>
          <w:b w:val="0"/>
          <w:bCs w:val="0"/>
          <w:iCs/>
          <w:kern w:val="2"/>
          <w:sz w:val="24"/>
          <w:szCs w:val="28"/>
          <w:lang w:val="en-US" w:eastAsia="zh-CN" w:bidi="ar-SA"/>
        </w:rPr>
        <w:t>3</w:t>
      </w:r>
      <w:r>
        <w:rPr>
          <w:rFonts w:hint="default" w:ascii="宋体" w:eastAsia="宋体" w:hAnsiTheme="minorEastAsia" w:cstheme="minorEastAsia"/>
          <w:b w:val="0"/>
          <w:bCs w:val="0"/>
          <w:iCs/>
          <w:kern w:val="2"/>
          <w:sz w:val="24"/>
          <w:szCs w:val="28"/>
          <w:lang w:val="en-US" w:eastAsia="zh-CN" w:bidi="ar-SA"/>
        </w:rPr>
        <w:t>.具有履行合同所必需的设备和专业技术能力；</w:t>
      </w:r>
    </w:p>
    <w:p w14:paraId="7D27201E">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eastAsia" w:ascii="宋体" w:eastAsia="宋体" w:hAnsiTheme="minorEastAsia" w:cstheme="minorEastAsia"/>
          <w:b w:val="0"/>
          <w:bCs w:val="0"/>
          <w:iCs/>
          <w:kern w:val="2"/>
          <w:sz w:val="24"/>
          <w:szCs w:val="28"/>
          <w:lang w:val="en-US" w:eastAsia="zh-CN" w:bidi="ar-SA"/>
        </w:rPr>
        <w:t>4</w:t>
      </w:r>
      <w:r>
        <w:rPr>
          <w:rFonts w:hint="default" w:ascii="宋体" w:eastAsia="宋体" w:hAnsiTheme="minorEastAsia" w:cstheme="minorEastAsia"/>
          <w:b w:val="0"/>
          <w:bCs w:val="0"/>
          <w:iCs/>
          <w:kern w:val="2"/>
          <w:sz w:val="24"/>
          <w:szCs w:val="28"/>
          <w:lang w:val="en-US" w:eastAsia="zh-CN" w:bidi="ar-SA"/>
        </w:rPr>
        <w:t>.有依法缴纳税收和社会保障资金的良好记录；</w:t>
      </w:r>
    </w:p>
    <w:p w14:paraId="1F7BA01A">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eastAsia" w:ascii="宋体" w:eastAsia="宋体" w:hAnsiTheme="minorEastAsia" w:cstheme="minorEastAsia"/>
          <w:b w:val="0"/>
          <w:bCs w:val="0"/>
          <w:iCs/>
          <w:kern w:val="2"/>
          <w:sz w:val="24"/>
          <w:szCs w:val="28"/>
          <w:lang w:val="en-US" w:eastAsia="zh-CN" w:bidi="ar-SA"/>
        </w:rPr>
        <w:t>5</w:t>
      </w:r>
      <w:r>
        <w:rPr>
          <w:rFonts w:hint="default" w:ascii="宋体" w:eastAsia="宋体" w:hAnsiTheme="minorEastAsia" w:cstheme="minorEastAsia"/>
          <w:b w:val="0"/>
          <w:bCs w:val="0"/>
          <w:iCs/>
          <w:kern w:val="2"/>
          <w:sz w:val="24"/>
          <w:szCs w:val="28"/>
          <w:lang w:val="en-US" w:eastAsia="zh-CN" w:bidi="ar-SA"/>
        </w:rPr>
        <w:t>.具有自主运营的低速电动车智能充电平台及自主运营的低速充电桩安全监管平台</w:t>
      </w:r>
    </w:p>
    <w:p w14:paraId="7E3722BF">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eastAsia" w:ascii="宋体" w:eastAsia="宋体" w:hAnsiTheme="minorEastAsia" w:cstheme="minorEastAsia"/>
          <w:b w:val="0"/>
          <w:bCs w:val="0"/>
          <w:iCs/>
          <w:kern w:val="2"/>
          <w:sz w:val="24"/>
          <w:szCs w:val="28"/>
          <w:lang w:val="en-US" w:eastAsia="zh-CN" w:bidi="ar-SA"/>
        </w:rPr>
        <w:t>6</w:t>
      </w:r>
      <w:r>
        <w:rPr>
          <w:rFonts w:hint="default" w:ascii="宋体" w:eastAsia="宋体" w:hAnsiTheme="minorEastAsia" w:cstheme="minorEastAsia"/>
          <w:b w:val="0"/>
          <w:bCs w:val="0"/>
          <w:iCs/>
          <w:kern w:val="2"/>
          <w:sz w:val="24"/>
          <w:szCs w:val="28"/>
          <w:lang w:val="en-US" w:eastAsia="zh-CN" w:bidi="ar-SA"/>
        </w:rPr>
        <w:t>.本项目接受代理商与制造响应。若为制造商，供应商须出具制造商声明函；若为代理商，须出具制造商对本项目核心产品</w:t>
      </w:r>
      <w:r>
        <w:rPr>
          <w:rFonts w:hint="eastAsia" w:ascii="宋体" w:eastAsia="宋体" w:hAnsiTheme="minorEastAsia" w:cstheme="minorEastAsia"/>
          <w:b w:val="0"/>
          <w:bCs w:val="0"/>
          <w:iCs/>
          <w:kern w:val="2"/>
          <w:sz w:val="24"/>
          <w:szCs w:val="28"/>
          <w:lang w:val="en-US" w:eastAsia="zh-CN" w:bidi="ar-SA"/>
        </w:rPr>
        <w:t>（充电桩）</w:t>
      </w:r>
      <w:r>
        <w:rPr>
          <w:rFonts w:hint="default" w:ascii="宋体" w:eastAsia="宋体" w:hAnsiTheme="minorEastAsia" w:cstheme="minorEastAsia"/>
          <w:b w:val="0"/>
          <w:bCs w:val="0"/>
          <w:iCs/>
          <w:kern w:val="2"/>
          <w:sz w:val="24"/>
          <w:szCs w:val="28"/>
          <w:lang w:val="en-US" w:eastAsia="zh-CN" w:bidi="ar-SA"/>
        </w:rPr>
        <w:t>的授权，代理商和制造商不得同时响应。</w:t>
      </w:r>
    </w:p>
    <w:p w14:paraId="4880550B">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eastAsia" w:ascii="宋体" w:eastAsia="宋体" w:hAnsiTheme="minorEastAsia" w:cstheme="minorEastAsia"/>
          <w:b w:val="0"/>
          <w:bCs w:val="0"/>
          <w:iCs/>
          <w:kern w:val="2"/>
          <w:sz w:val="24"/>
          <w:szCs w:val="28"/>
          <w:lang w:val="en-US" w:eastAsia="zh-CN" w:bidi="ar-SA"/>
        </w:rPr>
        <w:t>7</w:t>
      </w:r>
      <w:r>
        <w:rPr>
          <w:rFonts w:hint="default" w:ascii="宋体" w:eastAsia="宋体" w:hAnsiTheme="minorEastAsia" w:cstheme="minorEastAsia"/>
          <w:b w:val="0"/>
          <w:bCs w:val="0"/>
          <w:iCs/>
          <w:kern w:val="2"/>
          <w:sz w:val="24"/>
          <w:szCs w:val="28"/>
          <w:lang w:val="en-US" w:eastAsia="zh-CN" w:bidi="ar-SA"/>
        </w:rPr>
        <w:t>.具有医院低速电动车充电桩运营项目的同类业绩。</w:t>
      </w:r>
    </w:p>
    <w:p w14:paraId="113A34F3">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eastAsia" w:ascii="宋体" w:eastAsia="宋体" w:hAnsiTheme="minorEastAsia" w:cstheme="minorEastAsia"/>
          <w:b w:val="0"/>
          <w:bCs w:val="0"/>
          <w:iCs/>
          <w:kern w:val="2"/>
          <w:sz w:val="24"/>
          <w:szCs w:val="28"/>
          <w:lang w:val="en-US" w:eastAsia="zh-CN" w:bidi="ar-SA"/>
        </w:rPr>
        <w:t>8</w:t>
      </w:r>
      <w:r>
        <w:rPr>
          <w:rFonts w:hint="default" w:ascii="宋体" w:eastAsia="宋体" w:hAnsiTheme="minorEastAsia" w:cstheme="minorEastAsia"/>
          <w:b w:val="0"/>
          <w:bCs w:val="0"/>
          <w:iCs/>
          <w:kern w:val="2"/>
          <w:sz w:val="24"/>
          <w:szCs w:val="28"/>
          <w:lang w:val="en-US" w:eastAsia="zh-CN" w:bidi="ar-SA"/>
        </w:rPr>
        <w:t>.具备住建部门办法的安全生产许可证。</w:t>
      </w:r>
    </w:p>
    <w:p w14:paraId="6A3CE620">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r>
        <w:rPr>
          <w:rFonts w:hint="eastAsia" w:ascii="宋体" w:eastAsia="宋体" w:hAnsiTheme="minorEastAsia" w:cstheme="minorEastAsia"/>
          <w:b w:val="0"/>
          <w:bCs w:val="0"/>
          <w:iCs/>
          <w:kern w:val="2"/>
          <w:sz w:val="24"/>
          <w:szCs w:val="28"/>
          <w:lang w:val="en-US" w:eastAsia="zh-CN" w:bidi="ar-SA"/>
        </w:rPr>
        <w:t>9</w:t>
      </w:r>
      <w:r>
        <w:rPr>
          <w:rFonts w:hint="default" w:ascii="宋体" w:eastAsia="宋体" w:hAnsiTheme="minorEastAsia" w:cstheme="minorEastAsia"/>
          <w:b w:val="0"/>
          <w:bCs w:val="0"/>
          <w:iCs/>
          <w:kern w:val="2"/>
          <w:sz w:val="24"/>
          <w:szCs w:val="28"/>
          <w:lang w:val="en-US" w:eastAsia="zh-CN" w:bidi="ar-SA"/>
        </w:rPr>
        <w:t>.具备承装（修、试）电力设施许可证。</w:t>
      </w:r>
    </w:p>
    <w:p w14:paraId="02A9E05B">
      <w:pPr>
        <w:pStyle w:val="1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eastAsia="宋体" w:hAnsiTheme="minorEastAsia" w:cstheme="minorEastAsia"/>
          <w:b w:val="0"/>
          <w:bCs w:val="0"/>
          <w:iCs/>
          <w:kern w:val="2"/>
          <w:sz w:val="24"/>
          <w:szCs w:val="28"/>
          <w:lang w:val="en-US" w:eastAsia="zh-CN" w:bidi="ar-SA"/>
        </w:rPr>
      </w:pPr>
    </w:p>
    <w:sectPr>
      <w:headerReference r:id="rId3" w:type="default"/>
      <w:footerReference r:id="rId4" w:type="default"/>
      <w:pgSz w:w="11906" w:h="16838"/>
      <w:pgMar w:top="1440" w:right="1440" w:bottom="144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moder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DE59C97-AF01-4599-8A7D-4EA2ABD094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F5A25">
    <w:pPr>
      <w:pStyle w:val="11"/>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3752215</wp:posOffset>
              </wp:positionH>
              <wp:positionV relativeFrom="page">
                <wp:posOffset>9933305</wp:posOffset>
              </wp:positionV>
              <wp:extent cx="57150" cy="127000"/>
              <wp:effectExtent l="0" t="0" r="0" b="0"/>
              <wp:wrapNone/>
              <wp:docPr id="101" name="文本框 3"/>
              <wp:cNvGraphicFramePr/>
              <a:graphic xmlns:a="http://schemas.openxmlformats.org/drawingml/2006/main">
                <a:graphicData uri="http://schemas.microsoft.com/office/word/2010/wordprocessingShape">
                  <wps:wsp>
                    <wps:cNvSpPr txBox="1"/>
                    <wps:spPr>
                      <a:xfrm>
                        <a:off x="0" y="0"/>
                        <a:ext cx="57150" cy="127000"/>
                      </a:xfrm>
                      <a:prstGeom prst="rect">
                        <a:avLst/>
                      </a:prstGeom>
                      <a:noFill/>
                      <a:ln>
                        <a:noFill/>
                      </a:ln>
                      <a:effectLst/>
                    </wps:spPr>
                    <wps:txbx>
                      <w:txbxContent>
                        <w:p w14:paraId="44F57483">
                          <w:pPr>
                            <w:spacing w:line="199" w:lineRule="exact"/>
                            <w:rPr>
                              <w:rFonts w:ascii="Times New Roman"/>
                              <w:sz w:val="18"/>
                            </w:rPr>
                          </w:pPr>
                          <w:r>
                            <w:rPr>
                              <w:rFonts w:ascii="Times New Roman"/>
                              <w:sz w:val="18"/>
                            </w:rPr>
                            <w:t>1</w:t>
                          </w:r>
                        </w:p>
                      </w:txbxContent>
                    </wps:txbx>
                    <wps:bodyPr lIns="0" tIns="0" rIns="0" bIns="0" upright="1"/>
                  </wps:wsp>
                </a:graphicData>
              </a:graphic>
            </wp:anchor>
          </w:drawing>
        </mc:Choice>
        <mc:Fallback>
          <w:pict>
            <v:shape id="文本框 3" o:spid="_x0000_s1026" o:spt="202" type="#_x0000_t202" style="position:absolute;left:0pt;margin-left:295.45pt;margin-top:782.15pt;height:10pt;width:4.5pt;mso-position-horizontal-relative:page;mso-position-vertical-relative:page;z-index:-251655168;mso-width-relative:page;mso-height-relative:page;" filled="f" stroked="f" coordsize="21600,21600" o:gfxdata="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fX6IrZAAAADQEAAA8AAAAAAAAAAQAgAAAAIgAAAGRycy9kb3ducmV2Lnht&#10;bFBLAQIUABQAAAAIAIdO4kAnv+B5vwEAAIADAAAOAAAAAAAAAAEAIAAAACgBAABkcnMvZTJvRG9j&#10;LnhtbFBLBQYAAAAABgAGAFkBAABZBQAAAAA=&#10;">
              <v:fill on="f" focussize="0,0"/>
              <v:stroke on="f"/>
              <v:imagedata o:title=""/>
              <o:lock v:ext="edit" aspectratio="f"/>
              <v:textbox inset="0mm,0mm,0mm,0mm">
                <w:txbxContent>
                  <w:p w14:paraId="44F57483">
                    <w:pPr>
                      <w:spacing w:line="199" w:lineRule="exact"/>
                      <w:rPr>
                        <w:rFonts w:ascii="Times New Roman"/>
                        <w:sz w:val="18"/>
                      </w:rPr>
                    </w:pPr>
                    <w:r>
                      <w:rPr>
                        <w:rFonts w:ascii="Times New Roman"/>
                        <w:sz w:val="18"/>
                      </w:rPr>
                      <w:t>1</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3780790</wp:posOffset>
              </wp:positionH>
              <wp:positionV relativeFrom="page">
                <wp:posOffset>9932670</wp:posOffset>
              </wp:positionV>
              <wp:extent cx="0" cy="130810"/>
              <wp:effectExtent l="27940" t="0" r="29210" b="2540"/>
              <wp:wrapNone/>
              <wp:docPr id="102" name="直线 4"/>
              <wp:cNvGraphicFramePr/>
              <a:graphic xmlns:a="http://schemas.openxmlformats.org/drawingml/2006/main">
                <a:graphicData uri="http://schemas.microsoft.com/office/word/2010/wordprocessingShape">
                  <wps:wsp>
                    <wps:cNvCnPr/>
                    <wps:spPr>
                      <a:xfrm>
                        <a:off x="0" y="0"/>
                        <a:ext cx="0" cy="130810"/>
                      </a:xfrm>
                      <a:prstGeom prst="line">
                        <a:avLst/>
                      </a:prstGeom>
                      <a:ln w="56388" cap="flat" cmpd="sng">
                        <a:solidFill>
                          <a:srgbClr val="FFFFFF"/>
                        </a:solidFill>
                        <a:prstDash val="solid"/>
                        <a:headEnd type="none" w="med" len="med"/>
                        <a:tailEnd type="none" w="med" len="med"/>
                      </a:ln>
                      <a:effectLst/>
                    </wps:spPr>
                    <wps:bodyPr/>
                  </wps:wsp>
                </a:graphicData>
              </a:graphic>
            </wp:anchor>
          </w:drawing>
        </mc:Choice>
        <mc:Fallback>
          <w:pict>
            <v:line id="直线 4" o:spid="_x0000_s1026" o:spt="20" style="position:absolute;left:0pt;margin-left:297.7pt;margin-top:782.1pt;height:10.3pt;width:0pt;mso-position-horizontal-relative:page;mso-position-vertical-relative:page;z-index:-251654144;mso-width-relative:page;mso-height-relative:page;" filled="f" stroked="t" coordsize="21600,21600" o:gfxdata="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rI&#10;Ob3bAAAADQEAAA8AAAAAAAAAAQAgAAAAIgAAAGRycy9kb3ducmV2LnhtbFBLAQIUABQAAAAIAIdO&#10;4kATo9tV5wEAAN8DAAAOAAAAAAAAAAEAIAAAACoBAABkcnMvZTJvRG9jLnhtbFBLBQYAAAAABgAG&#10;AFkBAACDBQAAAAA=&#10;">
              <v:fill on="f" focussize="0,0"/>
              <v:stroke weight="4.44pt" color="#FFFFFF" joinstyle="round"/>
              <v:imagedata o:title=""/>
              <o:lock v:ext="edit" aspectratio="f"/>
            </v:lin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3643630</wp:posOffset>
              </wp:positionH>
              <wp:positionV relativeFrom="page">
                <wp:posOffset>9920605</wp:posOffset>
              </wp:positionV>
              <wp:extent cx="274320" cy="153670"/>
              <wp:effectExtent l="0" t="0" r="0" b="0"/>
              <wp:wrapNone/>
              <wp:docPr id="103" name="文本框 5"/>
              <wp:cNvGraphicFramePr/>
              <a:graphic xmlns:a="http://schemas.openxmlformats.org/drawingml/2006/main">
                <a:graphicData uri="http://schemas.microsoft.com/office/word/2010/wordprocessingShape">
                  <wps:wsp>
                    <wps:cNvSpPr txBox="1"/>
                    <wps:spPr>
                      <a:xfrm>
                        <a:off x="0" y="0"/>
                        <a:ext cx="274320" cy="153670"/>
                      </a:xfrm>
                      <a:prstGeom prst="rect">
                        <a:avLst/>
                      </a:prstGeom>
                      <a:noFill/>
                      <a:ln>
                        <a:noFill/>
                      </a:ln>
                      <a:effectLst/>
                    </wps:spPr>
                    <wps:txbx>
                      <w:txbxContent>
                        <w:p w14:paraId="6D9CC88F">
                          <w:pPr>
                            <w:spacing w:before="14"/>
                            <w:ind w:left="2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- 21 -</w:t>
                          </w:r>
                          <w:r>
                            <w:fldChar w:fldCharType="end"/>
                          </w:r>
                        </w:p>
                      </w:txbxContent>
                    </wps:txbx>
                    <wps:bodyPr lIns="0" tIns="0" rIns="0" bIns="0" upright="1"/>
                  </wps:wsp>
                </a:graphicData>
              </a:graphic>
            </wp:anchor>
          </w:drawing>
        </mc:Choice>
        <mc:Fallback>
          <w:pict>
            <v:shape id="文本框 5" o:spid="_x0000_s1026" o:spt="202" type="#_x0000_t202" style="position:absolute;left:0pt;margin-left:286.9pt;margin-top:781.15pt;height:12.1pt;width:21.6pt;mso-position-horizontal-relative:page;mso-position-vertical-relative:page;z-index:-251653120;mso-width-relative:page;mso-height-relative:page;" filled="f" stroked="f" coordsize="21600,21600" o:gfxdata="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NirBA2wAAAA0BAAAPAAAAAAAAAAEAIAAAACIAAABkcnMvZG93bnJl&#10;di54bWxQSwECFAAUAAAACACHTuJAQ8XiT8EBAACBAwAADgAAAAAAAAABACAAAAAqAQAAZHJzL2Uy&#10;b0RvYy54bWxQSwUGAAAAAAYABgBZAQAAXQUAAAAA&#10;">
              <v:fill on="f" focussize="0,0"/>
              <v:stroke on="f"/>
              <v:imagedata o:title=""/>
              <o:lock v:ext="edit" aspectratio="f"/>
              <v:textbox inset="0mm,0mm,0mm,0mm">
                <w:txbxContent>
                  <w:p w14:paraId="6D9CC88F">
                    <w:pPr>
                      <w:spacing w:before="14"/>
                      <w:ind w:left="2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- 21 -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086AF">
    <w:pPr>
      <w:pStyle w:val="11"/>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1130300</wp:posOffset>
              </wp:positionH>
              <wp:positionV relativeFrom="page">
                <wp:posOffset>544195</wp:posOffset>
              </wp:positionV>
              <wp:extent cx="1625600" cy="139700"/>
              <wp:effectExtent l="0" t="0" r="0" b="0"/>
              <wp:wrapNone/>
              <wp:docPr id="99" name="文本框 1"/>
              <wp:cNvGraphicFramePr/>
              <a:graphic xmlns:a="http://schemas.openxmlformats.org/drawingml/2006/main">
                <a:graphicData uri="http://schemas.microsoft.com/office/word/2010/wordprocessingShape">
                  <wps:wsp>
                    <wps:cNvSpPr txBox="1"/>
                    <wps:spPr>
                      <a:xfrm>
                        <a:off x="0" y="0"/>
                        <a:ext cx="1625600" cy="139700"/>
                      </a:xfrm>
                      <a:prstGeom prst="rect">
                        <a:avLst/>
                      </a:prstGeom>
                      <a:noFill/>
                      <a:ln>
                        <a:noFill/>
                      </a:ln>
                      <a:effectLst/>
                    </wps:spPr>
                    <wps:txbx>
                      <w:txbxContent>
                        <w:p w14:paraId="5A45000D">
                          <w:pPr>
                            <w:spacing w:line="220" w:lineRule="exact"/>
                            <w:rPr>
                              <w:sz w:val="18"/>
                            </w:rPr>
                          </w:pPr>
                        </w:p>
                      </w:txbxContent>
                    </wps:txbx>
                    <wps:bodyPr lIns="0" tIns="0" rIns="0" bIns="0" upright="1"/>
                  </wps:wsp>
                </a:graphicData>
              </a:graphic>
            </wp:anchor>
          </w:drawing>
        </mc:Choice>
        <mc:Fallback>
          <w:pict>
            <v:shape id="文本框 1" o:spid="_x0000_s1026" o:spt="202" type="#_x0000_t202" style="position:absolute;left:0pt;margin-left:89pt;margin-top:42.85pt;height:11pt;width:128pt;mso-position-horizontal-relative:page;mso-position-vertical-relative:page;z-index:-251657216;mso-width-relative:page;mso-height-relative:page;" filled="f" stroked="f" coordsize="21600,21600" o:gfxdata="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xoKCtgAAAAKAQAADwAAAAAAAAABACAAAAAiAAAAZHJzL2Rvd25yZXYueG1s&#10;UEsBAhQAFAAAAAgAh07iQNpwPpu/AQAAgQMAAA4AAAAAAAAAAQAgAAAAJwEAAGRycy9lMm9Eb2Mu&#10;eG1sUEsFBgAAAAAGAAYAWQEAAFgFAAAAAA==&#10;">
              <v:fill on="f" focussize="0,0"/>
              <v:stroke on="f"/>
              <v:imagedata o:title=""/>
              <o:lock v:ext="edit" aspectratio="f"/>
              <v:textbox inset="0mm,0mm,0mm,0mm">
                <w:txbxContent>
                  <w:p w14:paraId="5A45000D">
                    <w:pPr>
                      <w:spacing w:line="220" w:lineRule="exact"/>
                      <w:rPr>
                        <w:sz w:val="18"/>
                      </w:rPr>
                    </w:pP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5475605</wp:posOffset>
              </wp:positionH>
              <wp:positionV relativeFrom="page">
                <wp:posOffset>540385</wp:posOffset>
              </wp:positionV>
              <wp:extent cx="845185" cy="152400"/>
              <wp:effectExtent l="0" t="0" r="0" b="0"/>
              <wp:wrapNone/>
              <wp:docPr id="100" name="文本框 2"/>
              <wp:cNvGraphicFramePr/>
              <a:graphic xmlns:a="http://schemas.openxmlformats.org/drawingml/2006/main">
                <a:graphicData uri="http://schemas.microsoft.com/office/word/2010/wordprocessingShape">
                  <wps:wsp>
                    <wps:cNvSpPr txBox="1"/>
                    <wps:spPr>
                      <a:xfrm>
                        <a:off x="0" y="0"/>
                        <a:ext cx="845185" cy="152400"/>
                      </a:xfrm>
                      <a:prstGeom prst="rect">
                        <a:avLst/>
                      </a:prstGeom>
                      <a:noFill/>
                      <a:ln>
                        <a:noFill/>
                      </a:ln>
                      <a:effectLst/>
                    </wps:spPr>
                    <wps:txbx>
                      <w:txbxContent>
                        <w:p w14:paraId="565CF234">
                          <w:pPr>
                            <w:spacing w:before="12"/>
                            <w:rPr>
                              <w:sz w:val="18"/>
                            </w:rPr>
                          </w:pPr>
                        </w:p>
                      </w:txbxContent>
                    </wps:txbx>
                    <wps:bodyPr lIns="0" tIns="0" rIns="0" bIns="0" upright="1"/>
                  </wps:wsp>
                </a:graphicData>
              </a:graphic>
            </wp:anchor>
          </w:drawing>
        </mc:Choice>
        <mc:Fallback>
          <w:pict>
            <v:shape id="文本框 2" o:spid="_x0000_s1026" o:spt="202" type="#_x0000_t202" style="position:absolute;left:0pt;margin-left:431.15pt;margin-top:42.55pt;height:12pt;width:66.55pt;mso-position-horizontal-relative:page;mso-position-vertical-relative:page;z-index:-251656192;mso-width-relative:page;mso-height-relative:page;" filled="f" stroked="f" coordsize="21600,21600" o:gfxdata="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rCDLfZAAAACgEAAA8AAAAAAAAAAQAgAAAAIgAAAGRycy9kb3ducmV2Lnht&#10;bFBLAQIUABQAAAAIAIdO4kDp7ocovwEAAIEDAAAOAAAAAAAAAAEAIAAAACgBAABkcnMvZTJvRG9j&#10;LnhtbFBLBQYAAAAABgAGAFkBAABZBQAAAAA=&#10;">
              <v:fill on="f" focussize="0,0"/>
              <v:stroke on="f"/>
              <v:imagedata o:title=""/>
              <o:lock v:ext="edit" aspectratio="f"/>
              <v:textbox inset="0mm,0mm,0mm,0mm">
                <w:txbxContent>
                  <w:p w14:paraId="565CF234">
                    <w:pPr>
                      <w:spacing w:before="12"/>
                      <w:rPr>
                        <w:sz w:val="18"/>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4ZDc2ZWZjMDg2MTg3MmI2YmIxN2Y0OGJlMjIyMjMifQ=="/>
  </w:docVars>
  <w:rsids>
    <w:rsidRoot w:val="00F0418C"/>
    <w:rsid w:val="00000811"/>
    <w:rsid w:val="000032B5"/>
    <w:rsid w:val="0001136F"/>
    <w:rsid w:val="000160DA"/>
    <w:rsid w:val="00032601"/>
    <w:rsid w:val="00046499"/>
    <w:rsid w:val="00087033"/>
    <w:rsid w:val="00087EF0"/>
    <w:rsid w:val="000A10C4"/>
    <w:rsid w:val="000A28B0"/>
    <w:rsid w:val="000A74DB"/>
    <w:rsid w:val="000C3672"/>
    <w:rsid w:val="000C46FD"/>
    <w:rsid w:val="000E6DC9"/>
    <w:rsid w:val="000F73E5"/>
    <w:rsid w:val="00117656"/>
    <w:rsid w:val="0014559F"/>
    <w:rsid w:val="0014580A"/>
    <w:rsid w:val="00192562"/>
    <w:rsid w:val="00192A4A"/>
    <w:rsid w:val="00195027"/>
    <w:rsid w:val="001A53B5"/>
    <w:rsid w:val="001B1CEB"/>
    <w:rsid w:val="001B736F"/>
    <w:rsid w:val="001C0434"/>
    <w:rsid w:val="001E5CB3"/>
    <w:rsid w:val="0020367F"/>
    <w:rsid w:val="002213F2"/>
    <w:rsid w:val="00252CDC"/>
    <w:rsid w:val="002627E6"/>
    <w:rsid w:val="00271BF8"/>
    <w:rsid w:val="00271E5D"/>
    <w:rsid w:val="00281DE0"/>
    <w:rsid w:val="002A6D13"/>
    <w:rsid w:val="002C1A19"/>
    <w:rsid w:val="002E2235"/>
    <w:rsid w:val="003020B1"/>
    <w:rsid w:val="00337BA1"/>
    <w:rsid w:val="00337BAA"/>
    <w:rsid w:val="00343046"/>
    <w:rsid w:val="00343627"/>
    <w:rsid w:val="003742F5"/>
    <w:rsid w:val="003744E7"/>
    <w:rsid w:val="00374B7C"/>
    <w:rsid w:val="003A1E4E"/>
    <w:rsid w:val="003A3472"/>
    <w:rsid w:val="003A6412"/>
    <w:rsid w:val="003C7888"/>
    <w:rsid w:val="00426CD8"/>
    <w:rsid w:val="004457B3"/>
    <w:rsid w:val="0045610E"/>
    <w:rsid w:val="004C162C"/>
    <w:rsid w:val="004C4481"/>
    <w:rsid w:val="004C7266"/>
    <w:rsid w:val="004D70E3"/>
    <w:rsid w:val="004E6FBE"/>
    <w:rsid w:val="005176CE"/>
    <w:rsid w:val="0052372C"/>
    <w:rsid w:val="005250CE"/>
    <w:rsid w:val="00534606"/>
    <w:rsid w:val="005400C7"/>
    <w:rsid w:val="0055681B"/>
    <w:rsid w:val="005805B9"/>
    <w:rsid w:val="005909CA"/>
    <w:rsid w:val="00594B65"/>
    <w:rsid w:val="005B7582"/>
    <w:rsid w:val="005D55F6"/>
    <w:rsid w:val="005E0E2D"/>
    <w:rsid w:val="005E36D2"/>
    <w:rsid w:val="006016E9"/>
    <w:rsid w:val="006068E1"/>
    <w:rsid w:val="00654E1F"/>
    <w:rsid w:val="00655BE5"/>
    <w:rsid w:val="00687E5C"/>
    <w:rsid w:val="00695467"/>
    <w:rsid w:val="006B4ECD"/>
    <w:rsid w:val="006C5265"/>
    <w:rsid w:val="006D2998"/>
    <w:rsid w:val="00713D0D"/>
    <w:rsid w:val="007660A0"/>
    <w:rsid w:val="00775D38"/>
    <w:rsid w:val="00787C81"/>
    <w:rsid w:val="007A18FB"/>
    <w:rsid w:val="007C6934"/>
    <w:rsid w:val="007D3D1B"/>
    <w:rsid w:val="007F55AC"/>
    <w:rsid w:val="00806383"/>
    <w:rsid w:val="00813130"/>
    <w:rsid w:val="00824AD2"/>
    <w:rsid w:val="00824CC3"/>
    <w:rsid w:val="008579C4"/>
    <w:rsid w:val="008720E5"/>
    <w:rsid w:val="00876477"/>
    <w:rsid w:val="00884A92"/>
    <w:rsid w:val="008A693C"/>
    <w:rsid w:val="008B2405"/>
    <w:rsid w:val="008D1FD9"/>
    <w:rsid w:val="008E2CD2"/>
    <w:rsid w:val="008F7DAE"/>
    <w:rsid w:val="0090675F"/>
    <w:rsid w:val="00944470"/>
    <w:rsid w:val="009544B4"/>
    <w:rsid w:val="009924E2"/>
    <w:rsid w:val="00996581"/>
    <w:rsid w:val="009C1DC2"/>
    <w:rsid w:val="009C67BE"/>
    <w:rsid w:val="009E28C4"/>
    <w:rsid w:val="009F4C3D"/>
    <w:rsid w:val="00A00050"/>
    <w:rsid w:val="00A21782"/>
    <w:rsid w:val="00A36011"/>
    <w:rsid w:val="00A82ACF"/>
    <w:rsid w:val="00AA3C95"/>
    <w:rsid w:val="00AA4DF9"/>
    <w:rsid w:val="00AD7490"/>
    <w:rsid w:val="00AF4985"/>
    <w:rsid w:val="00B079B7"/>
    <w:rsid w:val="00B131E9"/>
    <w:rsid w:val="00B44E3A"/>
    <w:rsid w:val="00B64FF6"/>
    <w:rsid w:val="00B678FD"/>
    <w:rsid w:val="00BB7CF1"/>
    <w:rsid w:val="00BD0844"/>
    <w:rsid w:val="00BD3A07"/>
    <w:rsid w:val="00BE60E7"/>
    <w:rsid w:val="00BE7BED"/>
    <w:rsid w:val="00C1716E"/>
    <w:rsid w:val="00C4197A"/>
    <w:rsid w:val="00C500CF"/>
    <w:rsid w:val="00C50EC1"/>
    <w:rsid w:val="00C6512A"/>
    <w:rsid w:val="00C75071"/>
    <w:rsid w:val="00CD1F34"/>
    <w:rsid w:val="00CE35D2"/>
    <w:rsid w:val="00CF123E"/>
    <w:rsid w:val="00CF4866"/>
    <w:rsid w:val="00D00017"/>
    <w:rsid w:val="00D02760"/>
    <w:rsid w:val="00D04324"/>
    <w:rsid w:val="00D048AE"/>
    <w:rsid w:val="00D04943"/>
    <w:rsid w:val="00D10053"/>
    <w:rsid w:val="00D22A6B"/>
    <w:rsid w:val="00D33BC3"/>
    <w:rsid w:val="00D353BC"/>
    <w:rsid w:val="00D514DA"/>
    <w:rsid w:val="00D557B0"/>
    <w:rsid w:val="00D90740"/>
    <w:rsid w:val="00DB20DE"/>
    <w:rsid w:val="00DD1C4B"/>
    <w:rsid w:val="00DD3B0F"/>
    <w:rsid w:val="00DF1691"/>
    <w:rsid w:val="00DF67CB"/>
    <w:rsid w:val="00E11D8E"/>
    <w:rsid w:val="00E545CC"/>
    <w:rsid w:val="00E5508E"/>
    <w:rsid w:val="00E93B68"/>
    <w:rsid w:val="00EA0A71"/>
    <w:rsid w:val="00EA1560"/>
    <w:rsid w:val="00ED73F9"/>
    <w:rsid w:val="00ED7606"/>
    <w:rsid w:val="00F0418C"/>
    <w:rsid w:val="00F60604"/>
    <w:rsid w:val="00F66005"/>
    <w:rsid w:val="00F7126D"/>
    <w:rsid w:val="00F82369"/>
    <w:rsid w:val="00F8293E"/>
    <w:rsid w:val="00F85C4D"/>
    <w:rsid w:val="00F87108"/>
    <w:rsid w:val="00F90416"/>
    <w:rsid w:val="00FD0D07"/>
    <w:rsid w:val="00FF2125"/>
    <w:rsid w:val="0126389F"/>
    <w:rsid w:val="01677D6C"/>
    <w:rsid w:val="01E675CC"/>
    <w:rsid w:val="02032FE7"/>
    <w:rsid w:val="0210549F"/>
    <w:rsid w:val="03547EE0"/>
    <w:rsid w:val="039667A9"/>
    <w:rsid w:val="03B7227C"/>
    <w:rsid w:val="040C787B"/>
    <w:rsid w:val="04727855"/>
    <w:rsid w:val="04DC643E"/>
    <w:rsid w:val="04F03C97"/>
    <w:rsid w:val="051026CC"/>
    <w:rsid w:val="061146F2"/>
    <w:rsid w:val="06400C90"/>
    <w:rsid w:val="0665037A"/>
    <w:rsid w:val="06F35BF5"/>
    <w:rsid w:val="076F17EB"/>
    <w:rsid w:val="077C4592"/>
    <w:rsid w:val="07F55128"/>
    <w:rsid w:val="08191659"/>
    <w:rsid w:val="082A1146"/>
    <w:rsid w:val="085E53BC"/>
    <w:rsid w:val="088821BA"/>
    <w:rsid w:val="08AC176B"/>
    <w:rsid w:val="090A6F82"/>
    <w:rsid w:val="0922463B"/>
    <w:rsid w:val="09552E52"/>
    <w:rsid w:val="09DC2A3C"/>
    <w:rsid w:val="0A6F35B0"/>
    <w:rsid w:val="0A860446"/>
    <w:rsid w:val="0AAA40AC"/>
    <w:rsid w:val="0AAF1EFF"/>
    <w:rsid w:val="0AB35643"/>
    <w:rsid w:val="0B393DC4"/>
    <w:rsid w:val="0B3A40DD"/>
    <w:rsid w:val="0B8469CA"/>
    <w:rsid w:val="0BA92DF2"/>
    <w:rsid w:val="0BB85E5D"/>
    <w:rsid w:val="0BE248AB"/>
    <w:rsid w:val="0C3923C8"/>
    <w:rsid w:val="0CB7328E"/>
    <w:rsid w:val="0CEA5470"/>
    <w:rsid w:val="0D5439A6"/>
    <w:rsid w:val="0D851DDF"/>
    <w:rsid w:val="0D9A44EF"/>
    <w:rsid w:val="0DB00467"/>
    <w:rsid w:val="0DB8731C"/>
    <w:rsid w:val="0DCD49E2"/>
    <w:rsid w:val="0DDB59D7"/>
    <w:rsid w:val="0DEC6F9A"/>
    <w:rsid w:val="0E22306E"/>
    <w:rsid w:val="0E356BBF"/>
    <w:rsid w:val="0F1B6FAF"/>
    <w:rsid w:val="0F8E1322"/>
    <w:rsid w:val="0FCD3553"/>
    <w:rsid w:val="10AE0A4F"/>
    <w:rsid w:val="11051582"/>
    <w:rsid w:val="11BC1432"/>
    <w:rsid w:val="11FA7497"/>
    <w:rsid w:val="12011292"/>
    <w:rsid w:val="120668C9"/>
    <w:rsid w:val="12691013"/>
    <w:rsid w:val="12A12A75"/>
    <w:rsid w:val="12FD339F"/>
    <w:rsid w:val="13067DE0"/>
    <w:rsid w:val="13E37621"/>
    <w:rsid w:val="13EC17F8"/>
    <w:rsid w:val="149945A6"/>
    <w:rsid w:val="14F41C21"/>
    <w:rsid w:val="15412705"/>
    <w:rsid w:val="158F4E06"/>
    <w:rsid w:val="15F13700"/>
    <w:rsid w:val="16CA55CE"/>
    <w:rsid w:val="171509F9"/>
    <w:rsid w:val="175D3185"/>
    <w:rsid w:val="18377B7F"/>
    <w:rsid w:val="1844012A"/>
    <w:rsid w:val="18731CBA"/>
    <w:rsid w:val="195906B8"/>
    <w:rsid w:val="19642B69"/>
    <w:rsid w:val="198C4E1E"/>
    <w:rsid w:val="19924EC5"/>
    <w:rsid w:val="1AC51ED2"/>
    <w:rsid w:val="1ACD5C62"/>
    <w:rsid w:val="1AD175B1"/>
    <w:rsid w:val="1B3510FE"/>
    <w:rsid w:val="1B39005B"/>
    <w:rsid w:val="1B40258D"/>
    <w:rsid w:val="1B572BA1"/>
    <w:rsid w:val="1B6C68EE"/>
    <w:rsid w:val="1C6655B5"/>
    <w:rsid w:val="1D4E2AE9"/>
    <w:rsid w:val="1D6B7F07"/>
    <w:rsid w:val="1D7170E9"/>
    <w:rsid w:val="1DAD174D"/>
    <w:rsid w:val="1DF27587"/>
    <w:rsid w:val="1E206F43"/>
    <w:rsid w:val="1E522947"/>
    <w:rsid w:val="1E6B5606"/>
    <w:rsid w:val="1EBF675C"/>
    <w:rsid w:val="1F242A63"/>
    <w:rsid w:val="1F4020DC"/>
    <w:rsid w:val="1F675F89"/>
    <w:rsid w:val="1F7952E3"/>
    <w:rsid w:val="1FFE6293"/>
    <w:rsid w:val="20097A96"/>
    <w:rsid w:val="201E6E23"/>
    <w:rsid w:val="20234F74"/>
    <w:rsid w:val="2041049D"/>
    <w:rsid w:val="20BE6C76"/>
    <w:rsid w:val="20DC6910"/>
    <w:rsid w:val="21B445C8"/>
    <w:rsid w:val="21DE0C9C"/>
    <w:rsid w:val="22523A1F"/>
    <w:rsid w:val="22D0173A"/>
    <w:rsid w:val="239A6E40"/>
    <w:rsid w:val="239E2F81"/>
    <w:rsid w:val="23C91E2B"/>
    <w:rsid w:val="24324E23"/>
    <w:rsid w:val="246071FD"/>
    <w:rsid w:val="248D0A22"/>
    <w:rsid w:val="24A03760"/>
    <w:rsid w:val="25112EE5"/>
    <w:rsid w:val="255B2F57"/>
    <w:rsid w:val="255B4D05"/>
    <w:rsid w:val="26464434"/>
    <w:rsid w:val="265846E5"/>
    <w:rsid w:val="26750D7B"/>
    <w:rsid w:val="26942736"/>
    <w:rsid w:val="26992858"/>
    <w:rsid w:val="277410C6"/>
    <w:rsid w:val="27A91D58"/>
    <w:rsid w:val="27D551E6"/>
    <w:rsid w:val="280B0C36"/>
    <w:rsid w:val="280E7B49"/>
    <w:rsid w:val="286938B9"/>
    <w:rsid w:val="288340F5"/>
    <w:rsid w:val="2888114B"/>
    <w:rsid w:val="28940C5A"/>
    <w:rsid w:val="28CD7407"/>
    <w:rsid w:val="290224C2"/>
    <w:rsid w:val="29A1142F"/>
    <w:rsid w:val="29C226A4"/>
    <w:rsid w:val="2AAE3A2F"/>
    <w:rsid w:val="2B7A2A7C"/>
    <w:rsid w:val="2C382481"/>
    <w:rsid w:val="2C67306E"/>
    <w:rsid w:val="2CBC252D"/>
    <w:rsid w:val="2CE756F9"/>
    <w:rsid w:val="2D58666D"/>
    <w:rsid w:val="2D7B39D1"/>
    <w:rsid w:val="2DB518D4"/>
    <w:rsid w:val="2E60513A"/>
    <w:rsid w:val="2E9C0E80"/>
    <w:rsid w:val="2FA02212"/>
    <w:rsid w:val="2FBB5237"/>
    <w:rsid w:val="3071686A"/>
    <w:rsid w:val="30BB46D0"/>
    <w:rsid w:val="30E1233D"/>
    <w:rsid w:val="3129455C"/>
    <w:rsid w:val="313F30D0"/>
    <w:rsid w:val="31602E3A"/>
    <w:rsid w:val="317B3ADF"/>
    <w:rsid w:val="31B425B2"/>
    <w:rsid w:val="31F76B91"/>
    <w:rsid w:val="32020CDC"/>
    <w:rsid w:val="329F26D5"/>
    <w:rsid w:val="32D22AAA"/>
    <w:rsid w:val="335A2AA0"/>
    <w:rsid w:val="349B39B3"/>
    <w:rsid w:val="349E5840"/>
    <w:rsid w:val="358F53D2"/>
    <w:rsid w:val="35A53579"/>
    <w:rsid w:val="35C13D40"/>
    <w:rsid w:val="35F14FF3"/>
    <w:rsid w:val="3655592F"/>
    <w:rsid w:val="367543ED"/>
    <w:rsid w:val="36C216B1"/>
    <w:rsid w:val="36C4095C"/>
    <w:rsid w:val="381550C3"/>
    <w:rsid w:val="38313D92"/>
    <w:rsid w:val="38861F3D"/>
    <w:rsid w:val="389D1198"/>
    <w:rsid w:val="38B71EA1"/>
    <w:rsid w:val="395835DE"/>
    <w:rsid w:val="39776DA8"/>
    <w:rsid w:val="39833AA4"/>
    <w:rsid w:val="3A0A3F65"/>
    <w:rsid w:val="3A0D5042"/>
    <w:rsid w:val="3AF963A7"/>
    <w:rsid w:val="3B1A08AC"/>
    <w:rsid w:val="3B1A26FC"/>
    <w:rsid w:val="3B770AF7"/>
    <w:rsid w:val="3BB04B54"/>
    <w:rsid w:val="3C432323"/>
    <w:rsid w:val="3C4A0E50"/>
    <w:rsid w:val="3C640FC6"/>
    <w:rsid w:val="3C8977A4"/>
    <w:rsid w:val="3CA73DD4"/>
    <w:rsid w:val="3CE463EE"/>
    <w:rsid w:val="3D346110"/>
    <w:rsid w:val="3D967FAB"/>
    <w:rsid w:val="3DE37560"/>
    <w:rsid w:val="3E9E7CE5"/>
    <w:rsid w:val="3EEF0540"/>
    <w:rsid w:val="3F0F0F6D"/>
    <w:rsid w:val="3F911F87"/>
    <w:rsid w:val="3FF43FD3"/>
    <w:rsid w:val="400D57B8"/>
    <w:rsid w:val="405E66F9"/>
    <w:rsid w:val="40E41968"/>
    <w:rsid w:val="412344D1"/>
    <w:rsid w:val="421C3FB6"/>
    <w:rsid w:val="425A03C6"/>
    <w:rsid w:val="427E6361"/>
    <w:rsid w:val="42C76996"/>
    <w:rsid w:val="4340181D"/>
    <w:rsid w:val="435218EE"/>
    <w:rsid w:val="446A2746"/>
    <w:rsid w:val="447D497B"/>
    <w:rsid w:val="44AA4C75"/>
    <w:rsid w:val="451A5327"/>
    <w:rsid w:val="45514264"/>
    <w:rsid w:val="456D5848"/>
    <w:rsid w:val="45AD4CB1"/>
    <w:rsid w:val="46060DB7"/>
    <w:rsid w:val="4610442C"/>
    <w:rsid w:val="469A5235"/>
    <w:rsid w:val="46EA4B2E"/>
    <w:rsid w:val="471F398D"/>
    <w:rsid w:val="47896686"/>
    <w:rsid w:val="47F01CBA"/>
    <w:rsid w:val="47F153E0"/>
    <w:rsid w:val="48482A6F"/>
    <w:rsid w:val="48531B40"/>
    <w:rsid w:val="48AA0E8D"/>
    <w:rsid w:val="49046F7C"/>
    <w:rsid w:val="4952561F"/>
    <w:rsid w:val="49896CF3"/>
    <w:rsid w:val="499F52CF"/>
    <w:rsid w:val="4B0337D0"/>
    <w:rsid w:val="4BA03BCD"/>
    <w:rsid w:val="4BC475B5"/>
    <w:rsid w:val="4C02795E"/>
    <w:rsid w:val="4C1531E0"/>
    <w:rsid w:val="4C35155C"/>
    <w:rsid w:val="4C60533D"/>
    <w:rsid w:val="4CAC4D43"/>
    <w:rsid w:val="4CB11D81"/>
    <w:rsid w:val="4CC25E71"/>
    <w:rsid w:val="4D5679DC"/>
    <w:rsid w:val="4D780179"/>
    <w:rsid w:val="4DD73432"/>
    <w:rsid w:val="4E183A7E"/>
    <w:rsid w:val="4E212E43"/>
    <w:rsid w:val="509D1397"/>
    <w:rsid w:val="51436C11"/>
    <w:rsid w:val="514573C8"/>
    <w:rsid w:val="51613A6C"/>
    <w:rsid w:val="5180327A"/>
    <w:rsid w:val="520E10A8"/>
    <w:rsid w:val="525473B7"/>
    <w:rsid w:val="529E1C09"/>
    <w:rsid w:val="530028C4"/>
    <w:rsid w:val="532662BB"/>
    <w:rsid w:val="53323BCF"/>
    <w:rsid w:val="5343496B"/>
    <w:rsid w:val="53620E89"/>
    <w:rsid w:val="53CE4770"/>
    <w:rsid w:val="54106B37"/>
    <w:rsid w:val="54C012B5"/>
    <w:rsid w:val="55456FC5"/>
    <w:rsid w:val="55960B79"/>
    <w:rsid w:val="55B72586"/>
    <w:rsid w:val="55E54264"/>
    <w:rsid w:val="568779AB"/>
    <w:rsid w:val="56905D0D"/>
    <w:rsid w:val="57486D70"/>
    <w:rsid w:val="578259EC"/>
    <w:rsid w:val="57E52089"/>
    <w:rsid w:val="581A61D6"/>
    <w:rsid w:val="58425E6E"/>
    <w:rsid w:val="5852772B"/>
    <w:rsid w:val="58E21829"/>
    <w:rsid w:val="59267E70"/>
    <w:rsid w:val="59327A8A"/>
    <w:rsid w:val="597B346A"/>
    <w:rsid w:val="598418EE"/>
    <w:rsid w:val="59E22D24"/>
    <w:rsid w:val="59ED1B53"/>
    <w:rsid w:val="5A1E4A50"/>
    <w:rsid w:val="5A581E35"/>
    <w:rsid w:val="5A781F84"/>
    <w:rsid w:val="5A9378D7"/>
    <w:rsid w:val="5AC15654"/>
    <w:rsid w:val="5B0D198A"/>
    <w:rsid w:val="5B7512D3"/>
    <w:rsid w:val="5BA52897"/>
    <w:rsid w:val="5BD53981"/>
    <w:rsid w:val="5C1D0043"/>
    <w:rsid w:val="5D25728B"/>
    <w:rsid w:val="5D2D482E"/>
    <w:rsid w:val="5D7133A0"/>
    <w:rsid w:val="5D7229EC"/>
    <w:rsid w:val="5D8A5BAC"/>
    <w:rsid w:val="5D8D38C3"/>
    <w:rsid w:val="5DFF1EE9"/>
    <w:rsid w:val="5E1E0A96"/>
    <w:rsid w:val="5E5C3873"/>
    <w:rsid w:val="5EA276B0"/>
    <w:rsid w:val="5ECB265D"/>
    <w:rsid w:val="5F320EFA"/>
    <w:rsid w:val="5F87304F"/>
    <w:rsid w:val="5FB36ADE"/>
    <w:rsid w:val="6005776C"/>
    <w:rsid w:val="600F2399"/>
    <w:rsid w:val="605B435E"/>
    <w:rsid w:val="61001C9A"/>
    <w:rsid w:val="61A86601"/>
    <w:rsid w:val="62F158FB"/>
    <w:rsid w:val="637157A6"/>
    <w:rsid w:val="638617BF"/>
    <w:rsid w:val="644B1070"/>
    <w:rsid w:val="64F4793D"/>
    <w:rsid w:val="653463FD"/>
    <w:rsid w:val="65624D19"/>
    <w:rsid w:val="65B01F28"/>
    <w:rsid w:val="65D33BEF"/>
    <w:rsid w:val="662E2993"/>
    <w:rsid w:val="6672542F"/>
    <w:rsid w:val="66CB4B3F"/>
    <w:rsid w:val="67762CFD"/>
    <w:rsid w:val="67834928"/>
    <w:rsid w:val="68923C20"/>
    <w:rsid w:val="68E1689C"/>
    <w:rsid w:val="69C328FF"/>
    <w:rsid w:val="6A304FBD"/>
    <w:rsid w:val="6A815C41"/>
    <w:rsid w:val="6AA82A7F"/>
    <w:rsid w:val="6AF30805"/>
    <w:rsid w:val="6AFD1570"/>
    <w:rsid w:val="6B0D7B72"/>
    <w:rsid w:val="6B1A570B"/>
    <w:rsid w:val="6BF80185"/>
    <w:rsid w:val="6C1D3545"/>
    <w:rsid w:val="6C6D2921"/>
    <w:rsid w:val="6CBD1FBA"/>
    <w:rsid w:val="6CF52916"/>
    <w:rsid w:val="6D897A64"/>
    <w:rsid w:val="6D946650"/>
    <w:rsid w:val="6EE159EF"/>
    <w:rsid w:val="6EE55869"/>
    <w:rsid w:val="6EEA254A"/>
    <w:rsid w:val="6F7833FA"/>
    <w:rsid w:val="6F923E8B"/>
    <w:rsid w:val="705C4D2F"/>
    <w:rsid w:val="70B2295F"/>
    <w:rsid w:val="71115D25"/>
    <w:rsid w:val="71397543"/>
    <w:rsid w:val="714B650D"/>
    <w:rsid w:val="715F1225"/>
    <w:rsid w:val="71605245"/>
    <w:rsid w:val="71620560"/>
    <w:rsid w:val="716C7BEE"/>
    <w:rsid w:val="71B97F2E"/>
    <w:rsid w:val="728828A7"/>
    <w:rsid w:val="72DE3812"/>
    <w:rsid w:val="7306668A"/>
    <w:rsid w:val="73E47231"/>
    <w:rsid w:val="74116287"/>
    <w:rsid w:val="743F4CEA"/>
    <w:rsid w:val="74534B9A"/>
    <w:rsid w:val="74611DE4"/>
    <w:rsid w:val="74BA06CD"/>
    <w:rsid w:val="74F05498"/>
    <w:rsid w:val="751D0C5C"/>
    <w:rsid w:val="75671D0E"/>
    <w:rsid w:val="758B12AC"/>
    <w:rsid w:val="7657019E"/>
    <w:rsid w:val="765B7C8E"/>
    <w:rsid w:val="76A333E3"/>
    <w:rsid w:val="76AF436C"/>
    <w:rsid w:val="76FA1255"/>
    <w:rsid w:val="776A4A8F"/>
    <w:rsid w:val="77D335C1"/>
    <w:rsid w:val="781501EF"/>
    <w:rsid w:val="783207F7"/>
    <w:rsid w:val="78675530"/>
    <w:rsid w:val="7879264D"/>
    <w:rsid w:val="78B07F75"/>
    <w:rsid w:val="78E25162"/>
    <w:rsid w:val="792A1B99"/>
    <w:rsid w:val="796532E5"/>
    <w:rsid w:val="79E14BC9"/>
    <w:rsid w:val="7A132309"/>
    <w:rsid w:val="7A435D29"/>
    <w:rsid w:val="7AC178E1"/>
    <w:rsid w:val="7ADA4C98"/>
    <w:rsid w:val="7AF16E13"/>
    <w:rsid w:val="7B0D24E1"/>
    <w:rsid w:val="7BAB6FC2"/>
    <w:rsid w:val="7BCC6F38"/>
    <w:rsid w:val="7C75312C"/>
    <w:rsid w:val="7D1862F1"/>
    <w:rsid w:val="7D7F24B4"/>
    <w:rsid w:val="7DBA34EC"/>
    <w:rsid w:val="7DC55714"/>
    <w:rsid w:val="7DF52776"/>
    <w:rsid w:val="7E4D2EF3"/>
    <w:rsid w:val="7E9975A5"/>
    <w:rsid w:val="7F3459CA"/>
    <w:rsid w:val="7F4D4C15"/>
    <w:rsid w:val="7F8D44EC"/>
    <w:rsid w:val="7FA04963"/>
    <w:rsid w:val="7FB57679"/>
    <w:rsid w:val="7FDA3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36"/>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qFormat/>
    <w:uiPriority w:val="1"/>
    <w:pPr>
      <w:ind w:left="1260"/>
      <w:outlineLvl w:val="3"/>
    </w:pPr>
    <w:rPr>
      <w:b/>
      <w:bCs/>
      <w:sz w:val="28"/>
      <w:szCs w:val="28"/>
    </w:rPr>
  </w:style>
  <w:style w:type="paragraph" w:styleId="6">
    <w:name w:val="heading 6"/>
    <w:basedOn w:val="1"/>
    <w:next w:val="1"/>
    <w:qFormat/>
    <w:uiPriority w:val="1"/>
    <w:pPr>
      <w:spacing w:before="4"/>
      <w:ind w:left="59"/>
      <w:outlineLvl w:val="5"/>
    </w:pPr>
    <w:rPr>
      <w:b/>
      <w:bCs/>
      <w:sz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table of authorities"/>
    <w:basedOn w:val="1"/>
    <w:next w:val="1"/>
    <w:qFormat/>
    <w:uiPriority w:val="99"/>
    <w:pPr>
      <w:ind w:left="420" w:leftChars="200"/>
    </w:pPr>
  </w:style>
  <w:style w:type="paragraph" w:styleId="8">
    <w:name w:val="Document Map"/>
    <w:basedOn w:val="1"/>
    <w:link w:val="38"/>
    <w:qFormat/>
    <w:uiPriority w:val="0"/>
    <w:rPr>
      <w:rFonts w:ascii="宋体" w:eastAsia="宋体"/>
      <w:sz w:val="18"/>
      <w:szCs w:val="18"/>
    </w:rPr>
  </w:style>
  <w:style w:type="paragraph" w:styleId="9">
    <w:name w:val="annotation text"/>
    <w:basedOn w:val="1"/>
    <w:qFormat/>
    <w:uiPriority w:val="0"/>
    <w:pPr>
      <w:jc w:val="left"/>
    </w:pPr>
  </w:style>
  <w:style w:type="paragraph" w:styleId="10">
    <w:name w:val="Body Text 3"/>
    <w:basedOn w:val="1"/>
    <w:qFormat/>
    <w:uiPriority w:val="99"/>
    <w:pPr>
      <w:tabs>
        <w:tab w:val="left" w:pos="1624"/>
      </w:tabs>
      <w:autoSpaceDE w:val="0"/>
      <w:autoSpaceDN w:val="0"/>
      <w:adjustRightInd w:val="0"/>
      <w:spacing w:line="400" w:lineRule="exact"/>
    </w:pPr>
    <w:rPr>
      <w:rFonts w:ascii="Calibri" w:hAnsi="Calibri" w:eastAsia="宋体" w:cs="Times New Roman"/>
      <w:color w:val="000000"/>
      <w:kern w:val="0"/>
      <w:sz w:val="20"/>
    </w:rPr>
  </w:style>
  <w:style w:type="paragraph" w:styleId="11">
    <w:name w:val="Body Text"/>
    <w:basedOn w:val="1"/>
    <w:qFormat/>
    <w:uiPriority w:val="1"/>
    <w:rPr>
      <w:sz w:val="24"/>
    </w:rPr>
  </w:style>
  <w:style w:type="paragraph" w:styleId="12">
    <w:name w:val="Body Text Indent"/>
    <w:basedOn w:val="1"/>
    <w:qFormat/>
    <w:uiPriority w:val="0"/>
    <w:pPr>
      <w:ind w:firstLine="540"/>
    </w:pPr>
    <w:rPr>
      <w:rFonts w:ascii="宋体"/>
      <w:sz w:val="28"/>
      <w:szCs w:val="20"/>
    </w:rPr>
  </w:style>
  <w:style w:type="paragraph" w:styleId="13">
    <w:name w:val="Plain Text"/>
    <w:basedOn w:val="1"/>
    <w:qFormat/>
    <w:uiPriority w:val="0"/>
    <w:rPr>
      <w:rFonts w:ascii="宋体" w:hAnsi="Courier New"/>
    </w:rPr>
  </w:style>
  <w:style w:type="paragraph" w:styleId="14">
    <w:name w:val="Balloon Text"/>
    <w:basedOn w:val="1"/>
    <w:link w:val="80"/>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Normal (Web)"/>
    <w:basedOn w:val="1"/>
    <w:qFormat/>
    <w:uiPriority w:val="99"/>
    <w:pPr>
      <w:spacing w:beforeAutospacing="1" w:afterAutospacing="1"/>
      <w:jc w:val="left"/>
    </w:pPr>
    <w:rPr>
      <w:rFonts w:cs="Times New Roman"/>
      <w:kern w:val="0"/>
      <w:sz w:val="24"/>
    </w:rPr>
  </w:style>
  <w:style w:type="paragraph" w:styleId="18">
    <w:name w:val="Body Text First Indent 2"/>
    <w:basedOn w:val="12"/>
    <w:qFormat/>
    <w:uiPriority w:val="0"/>
    <w:pPr>
      <w:spacing w:after="120"/>
      <w:ind w:left="420" w:firstLine="420"/>
    </w:pPr>
    <w:rPr>
      <w:rFonts w:ascii="Times New Roman"/>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22"/>
    <w:rPr>
      <w:b/>
      <w:bCs/>
    </w:rPr>
  </w:style>
  <w:style w:type="character" w:styleId="23">
    <w:name w:val="FollowedHyperlink"/>
    <w:basedOn w:val="21"/>
    <w:qFormat/>
    <w:uiPriority w:val="0"/>
    <w:rPr>
      <w:color w:val="800080"/>
      <w:u w:val="none"/>
    </w:rPr>
  </w:style>
  <w:style w:type="character" w:styleId="24">
    <w:name w:val="Emphasis"/>
    <w:basedOn w:val="21"/>
    <w:qFormat/>
    <w:uiPriority w:val="20"/>
    <w:rPr>
      <w:i/>
      <w:iCs/>
    </w:rPr>
  </w:style>
  <w:style w:type="character" w:styleId="25">
    <w:name w:val="HTML Definition"/>
    <w:basedOn w:val="21"/>
    <w:qFormat/>
    <w:uiPriority w:val="0"/>
  </w:style>
  <w:style w:type="character" w:styleId="26">
    <w:name w:val="HTML Typewriter"/>
    <w:basedOn w:val="21"/>
    <w:qFormat/>
    <w:uiPriority w:val="0"/>
    <w:rPr>
      <w:rFonts w:hint="default" w:ascii="monospace" w:hAnsi="monospace" w:eastAsia="monospace" w:cs="monospace"/>
      <w:sz w:val="20"/>
    </w:rPr>
  </w:style>
  <w:style w:type="character" w:styleId="27">
    <w:name w:val="HTML Acronym"/>
    <w:basedOn w:val="21"/>
    <w:qFormat/>
    <w:uiPriority w:val="0"/>
  </w:style>
  <w:style w:type="character" w:styleId="28">
    <w:name w:val="HTML Variable"/>
    <w:basedOn w:val="21"/>
    <w:qFormat/>
    <w:uiPriority w:val="0"/>
  </w:style>
  <w:style w:type="character" w:styleId="29">
    <w:name w:val="Hyperlink"/>
    <w:basedOn w:val="21"/>
    <w:qFormat/>
    <w:uiPriority w:val="0"/>
    <w:rPr>
      <w:color w:val="0000FF"/>
      <w:u w:val="none"/>
    </w:rPr>
  </w:style>
  <w:style w:type="character" w:styleId="30">
    <w:name w:val="HTML Code"/>
    <w:basedOn w:val="21"/>
    <w:qFormat/>
    <w:uiPriority w:val="0"/>
    <w:rPr>
      <w:rFonts w:hint="default" w:ascii="monospace" w:hAnsi="monospace" w:eastAsia="monospace" w:cs="monospace"/>
      <w:sz w:val="20"/>
    </w:rPr>
  </w:style>
  <w:style w:type="character" w:styleId="31">
    <w:name w:val="HTML Cite"/>
    <w:basedOn w:val="21"/>
    <w:qFormat/>
    <w:uiPriority w:val="0"/>
  </w:style>
  <w:style w:type="character" w:styleId="32">
    <w:name w:val="HTML Keyboard"/>
    <w:basedOn w:val="21"/>
    <w:qFormat/>
    <w:uiPriority w:val="0"/>
    <w:rPr>
      <w:rFonts w:hint="default" w:ascii="monospace" w:hAnsi="monospace" w:eastAsia="monospace" w:cs="monospace"/>
      <w:sz w:val="20"/>
    </w:rPr>
  </w:style>
  <w:style w:type="character" w:styleId="33">
    <w:name w:val="HTML Sample"/>
    <w:basedOn w:val="21"/>
    <w:qFormat/>
    <w:uiPriority w:val="0"/>
    <w:rPr>
      <w:rFonts w:ascii="monospace" w:hAnsi="monospace" w:eastAsia="monospace" w:cs="monospace"/>
    </w:rPr>
  </w:style>
  <w:style w:type="character" w:customStyle="1" w:styleId="34">
    <w:name w:val="fontstyle01"/>
    <w:basedOn w:val="21"/>
    <w:qFormat/>
    <w:uiPriority w:val="0"/>
    <w:rPr>
      <w:rFonts w:hint="eastAsia" w:ascii="仿宋_GB2312" w:eastAsia="仿宋_GB2312"/>
      <w:color w:val="000000"/>
      <w:sz w:val="22"/>
      <w:szCs w:val="22"/>
    </w:rPr>
  </w:style>
  <w:style w:type="character" w:customStyle="1" w:styleId="35">
    <w:name w:val="标题 3 Char"/>
    <w:basedOn w:val="21"/>
    <w:link w:val="4"/>
    <w:qFormat/>
    <w:uiPriority w:val="9"/>
    <w:rPr>
      <w:rFonts w:ascii="宋体" w:hAnsi="宋体" w:cs="宋体"/>
      <w:b/>
      <w:bCs/>
      <w:sz w:val="27"/>
      <w:szCs w:val="27"/>
    </w:rPr>
  </w:style>
  <w:style w:type="character" w:customStyle="1" w:styleId="36">
    <w:name w:val="标题 2 Char"/>
    <w:basedOn w:val="21"/>
    <w:link w:val="3"/>
    <w:semiHidden/>
    <w:qFormat/>
    <w:uiPriority w:val="0"/>
    <w:rPr>
      <w:rFonts w:asciiTheme="majorHAnsi" w:hAnsiTheme="majorHAnsi" w:eastAsiaTheme="majorEastAsia" w:cstheme="majorBidi"/>
      <w:b/>
      <w:bCs/>
      <w:kern w:val="2"/>
      <w:sz w:val="32"/>
      <w:szCs w:val="32"/>
    </w:rPr>
  </w:style>
  <w:style w:type="character" w:customStyle="1" w:styleId="37">
    <w:name w:val="editinput2"/>
    <w:basedOn w:val="21"/>
    <w:qFormat/>
    <w:uiPriority w:val="0"/>
  </w:style>
  <w:style w:type="character" w:customStyle="1" w:styleId="38">
    <w:name w:val="文档结构图 Char"/>
    <w:basedOn w:val="21"/>
    <w:link w:val="8"/>
    <w:qFormat/>
    <w:uiPriority w:val="0"/>
    <w:rPr>
      <w:rFonts w:ascii="宋体" w:hAnsiTheme="minorHAnsi" w:cstheme="minorBidi"/>
      <w:kern w:val="2"/>
      <w:sz w:val="18"/>
      <w:szCs w:val="18"/>
    </w:rPr>
  </w:style>
  <w:style w:type="paragraph" w:styleId="39">
    <w:name w:val="List Paragraph"/>
    <w:basedOn w:val="1"/>
    <w:qFormat/>
    <w:uiPriority w:val="99"/>
    <w:pPr>
      <w:ind w:left="1260" w:firstLine="479"/>
    </w:pPr>
  </w:style>
  <w:style w:type="paragraph" w:customStyle="1" w:styleId="40">
    <w:name w:val="Table Paragraph"/>
    <w:basedOn w:val="1"/>
    <w:qFormat/>
    <w:uiPriority w:val="1"/>
  </w:style>
  <w:style w:type="character" w:customStyle="1" w:styleId="41">
    <w:name w:val="first-child"/>
    <w:basedOn w:val="21"/>
    <w:qFormat/>
    <w:uiPriority w:val="0"/>
  </w:style>
  <w:style w:type="character" w:customStyle="1" w:styleId="42">
    <w:name w:val="layui-layer-tabnow"/>
    <w:basedOn w:val="21"/>
    <w:qFormat/>
    <w:uiPriority w:val="0"/>
    <w:rPr>
      <w:bdr w:val="single" w:color="CCCCCC" w:sz="6" w:space="0"/>
      <w:shd w:val="clear" w:color="auto" w:fill="FFFFFF"/>
    </w:rPr>
  </w:style>
  <w:style w:type="paragraph" w:customStyle="1" w:styleId="43">
    <w:name w:val="列出段落1"/>
    <w:basedOn w:val="1"/>
    <w:qFormat/>
    <w:uiPriority w:val="0"/>
    <w:pPr>
      <w:ind w:firstLine="420" w:firstLineChars="200"/>
    </w:pPr>
    <w:rPr>
      <w:rFonts w:ascii="Calibri" w:hAnsi="Calibri"/>
      <w:szCs w:val="22"/>
    </w:rPr>
  </w:style>
  <w:style w:type="paragraph" w:customStyle="1" w:styleId="44">
    <w:name w:val="列表段落1"/>
    <w:basedOn w:val="1"/>
    <w:qFormat/>
    <w:uiPriority w:val="34"/>
    <w:pPr>
      <w:ind w:firstLine="420" w:firstLineChars="200"/>
    </w:pPr>
  </w:style>
  <w:style w:type="character" w:customStyle="1" w:styleId="45">
    <w:name w:val="prev"/>
    <w:basedOn w:val="21"/>
    <w:qFormat/>
    <w:uiPriority w:val="0"/>
    <w:rPr>
      <w:rFonts w:ascii="微软雅黑" w:hAnsi="微软雅黑" w:eastAsia="微软雅黑" w:cs="微软雅黑"/>
      <w:sz w:val="21"/>
      <w:szCs w:val="21"/>
    </w:rPr>
  </w:style>
  <w:style w:type="character" w:customStyle="1" w:styleId="46">
    <w:name w:val="prev1"/>
    <w:basedOn w:val="21"/>
    <w:qFormat/>
    <w:uiPriority w:val="0"/>
    <w:rPr>
      <w:color w:val="888888"/>
    </w:rPr>
  </w:style>
  <w:style w:type="character" w:customStyle="1" w:styleId="47">
    <w:name w:val="redfilefwwh"/>
    <w:basedOn w:val="21"/>
    <w:qFormat/>
    <w:uiPriority w:val="0"/>
    <w:rPr>
      <w:color w:val="BA2636"/>
      <w:sz w:val="18"/>
      <w:szCs w:val="18"/>
    </w:rPr>
  </w:style>
  <w:style w:type="character" w:customStyle="1" w:styleId="48">
    <w:name w:val="qxdate"/>
    <w:basedOn w:val="21"/>
    <w:qFormat/>
    <w:uiPriority w:val="0"/>
    <w:rPr>
      <w:color w:val="333333"/>
      <w:sz w:val="18"/>
      <w:szCs w:val="18"/>
    </w:rPr>
  </w:style>
  <w:style w:type="character" w:customStyle="1" w:styleId="49">
    <w:name w:val="redfilenumber"/>
    <w:basedOn w:val="21"/>
    <w:qFormat/>
    <w:uiPriority w:val="0"/>
    <w:rPr>
      <w:color w:val="BA2636"/>
      <w:sz w:val="18"/>
      <w:szCs w:val="18"/>
    </w:rPr>
  </w:style>
  <w:style w:type="character" w:customStyle="1" w:styleId="50">
    <w:name w:val="displayarti"/>
    <w:basedOn w:val="21"/>
    <w:qFormat/>
    <w:uiPriority w:val="0"/>
    <w:rPr>
      <w:color w:val="FFFFFF"/>
      <w:shd w:val="clear" w:color="auto" w:fill="A00000"/>
    </w:rPr>
  </w:style>
  <w:style w:type="character" w:customStyle="1" w:styleId="51">
    <w:name w:val="next"/>
    <w:basedOn w:val="21"/>
    <w:qFormat/>
    <w:uiPriority w:val="0"/>
    <w:rPr>
      <w:rFonts w:hint="eastAsia" w:ascii="微软雅黑" w:hAnsi="微软雅黑" w:eastAsia="微软雅黑" w:cs="微软雅黑"/>
      <w:sz w:val="21"/>
      <w:szCs w:val="21"/>
    </w:rPr>
  </w:style>
  <w:style w:type="character" w:customStyle="1" w:styleId="52">
    <w:name w:val="next1"/>
    <w:basedOn w:val="21"/>
    <w:qFormat/>
    <w:uiPriority w:val="0"/>
    <w:rPr>
      <w:color w:val="888888"/>
    </w:rPr>
  </w:style>
  <w:style w:type="character" w:customStyle="1" w:styleId="53">
    <w:name w:val="cfdate"/>
    <w:basedOn w:val="21"/>
    <w:qFormat/>
    <w:uiPriority w:val="0"/>
    <w:rPr>
      <w:color w:val="333333"/>
      <w:sz w:val="18"/>
      <w:szCs w:val="18"/>
    </w:rPr>
  </w:style>
  <w:style w:type="character" w:customStyle="1" w:styleId="54">
    <w:name w:val="gjfg"/>
    <w:basedOn w:val="21"/>
    <w:qFormat/>
    <w:uiPriority w:val="0"/>
  </w:style>
  <w:style w:type="character" w:customStyle="1" w:styleId="55">
    <w:name w:val="index-module_large_1mscr1"/>
    <w:basedOn w:val="21"/>
    <w:qFormat/>
    <w:uiPriority w:val="0"/>
  </w:style>
  <w:style w:type="paragraph" w:customStyle="1" w:styleId="56">
    <w:name w:val="Heading2"/>
    <w:basedOn w:val="1"/>
    <w:next w:val="1"/>
    <w:qFormat/>
    <w:uiPriority w:val="0"/>
    <w:pPr>
      <w:keepNext/>
      <w:keepLines/>
      <w:spacing w:before="260" w:after="260" w:line="413" w:lineRule="auto"/>
      <w:textAlignment w:val="baseline"/>
    </w:pPr>
    <w:rPr>
      <w:rFonts w:ascii="Arial" w:hAnsi="Arial" w:eastAsia="黑体"/>
      <w:b/>
      <w:kern w:val="0"/>
      <w:sz w:val="32"/>
      <w:szCs w:val="20"/>
    </w:rPr>
  </w:style>
  <w:style w:type="character" w:customStyle="1" w:styleId="57">
    <w:name w:val="fontborder"/>
    <w:basedOn w:val="21"/>
    <w:qFormat/>
    <w:uiPriority w:val="0"/>
    <w:rPr>
      <w:bdr w:val="single" w:color="000000" w:sz="6" w:space="0"/>
    </w:rPr>
  </w:style>
  <w:style w:type="character" w:customStyle="1" w:styleId="58">
    <w:name w:val="fontstrikethrough"/>
    <w:basedOn w:val="21"/>
    <w:qFormat/>
    <w:uiPriority w:val="0"/>
    <w:rPr>
      <w:strike/>
    </w:rPr>
  </w:style>
  <w:style w:type="character" w:customStyle="1" w:styleId="59">
    <w:name w:val="first-child9"/>
    <w:basedOn w:val="21"/>
    <w:qFormat/>
    <w:uiPriority w:val="0"/>
  </w:style>
  <w:style w:type="character" w:customStyle="1" w:styleId="60">
    <w:name w:val="layui-this"/>
    <w:basedOn w:val="21"/>
    <w:qFormat/>
    <w:uiPriority w:val="0"/>
    <w:rPr>
      <w:bdr w:val="single" w:color="EEEEEE" w:sz="6" w:space="0"/>
      <w:shd w:val="clear" w:color="auto" w:fill="FFFFFF"/>
    </w:rPr>
  </w:style>
  <w:style w:type="character" w:customStyle="1" w:styleId="61">
    <w:name w:val="hover56"/>
    <w:basedOn w:val="21"/>
    <w:qFormat/>
    <w:uiPriority w:val="0"/>
    <w:rPr>
      <w:color w:val="FFFFFF"/>
    </w:rPr>
  </w:style>
  <w:style w:type="character" w:customStyle="1" w:styleId="62">
    <w:name w:val="hover57"/>
    <w:basedOn w:val="21"/>
    <w:qFormat/>
    <w:uiPriority w:val="0"/>
    <w:rPr>
      <w:color w:val="FFFFFF"/>
      <w:shd w:val="clear" w:color="auto" w:fill="FF0000"/>
    </w:rPr>
  </w:style>
  <w:style w:type="character" w:customStyle="1" w:styleId="63">
    <w:name w:val="c_span2"/>
    <w:basedOn w:val="21"/>
    <w:qFormat/>
    <w:uiPriority w:val="0"/>
  </w:style>
  <w:style w:type="character" w:customStyle="1" w:styleId="64">
    <w:name w:val="time8"/>
    <w:basedOn w:val="21"/>
    <w:qFormat/>
    <w:uiPriority w:val="0"/>
  </w:style>
  <w:style w:type="character" w:customStyle="1" w:styleId="65">
    <w:name w:val="hover27"/>
    <w:basedOn w:val="21"/>
    <w:qFormat/>
    <w:uiPriority w:val="0"/>
  </w:style>
  <w:style w:type="character" w:customStyle="1" w:styleId="66">
    <w:name w:val="hover28"/>
    <w:basedOn w:val="21"/>
    <w:qFormat/>
    <w:uiPriority w:val="0"/>
    <w:rPr>
      <w:color w:val="315EFB"/>
    </w:rPr>
  </w:style>
  <w:style w:type="character" w:customStyle="1" w:styleId="67">
    <w:name w:val="c-icon32"/>
    <w:basedOn w:val="21"/>
    <w:qFormat/>
    <w:uiPriority w:val="0"/>
  </w:style>
  <w:style w:type="character" w:customStyle="1" w:styleId="68">
    <w:name w:val="c-icon30"/>
    <w:basedOn w:val="21"/>
    <w:qFormat/>
    <w:uiPriority w:val="0"/>
  </w:style>
  <w:style w:type="character" w:customStyle="1" w:styleId="69">
    <w:name w:val="hover25"/>
    <w:basedOn w:val="21"/>
    <w:qFormat/>
    <w:uiPriority w:val="0"/>
    <w:rPr>
      <w:color w:val="315EFB"/>
    </w:rPr>
  </w:style>
  <w:style w:type="character" w:customStyle="1" w:styleId="70">
    <w:name w:val="hover26"/>
    <w:basedOn w:val="21"/>
    <w:qFormat/>
    <w:uiPriority w:val="0"/>
  </w:style>
  <w:style w:type="character" w:customStyle="1" w:styleId="71">
    <w:name w:val="content-right_8zs401"/>
    <w:basedOn w:val="21"/>
    <w:qFormat/>
    <w:uiPriority w:val="0"/>
  </w:style>
  <w:style w:type="character" w:customStyle="1" w:styleId="72">
    <w:name w:val="hover"/>
    <w:basedOn w:val="21"/>
    <w:qFormat/>
    <w:uiPriority w:val="0"/>
  </w:style>
  <w:style w:type="character" w:customStyle="1" w:styleId="73">
    <w:name w:val="hover1"/>
    <w:basedOn w:val="21"/>
    <w:qFormat/>
    <w:uiPriority w:val="0"/>
    <w:rPr>
      <w:color w:val="315EFB"/>
    </w:rPr>
  </w:style>
  <w:style w:type="character" w:customStyle="1" w:styleId="74">
    <w:name w:val="c-icon"/>
    <w:basedOn w:val="21"/>
    <w:qFormat/>
    <w:uiPriority w:val="0"/>
  </w:style>
  <w:style w:type="paragraph" w:customStyle="1" w:styleId="75">
    <w:name w:val="mt2"/>
    <w:basedOn w:val="1"/>
    <w:qFormat/>
    <w:uiPriority w:val="0"/>
    <w:pPr>
      <w:spacing w:before="300"/>
      <w:jc w:val="left"/>
    </w:pPr>
    <w:rPr>
      <w:rFonts w:cs="Times New Roman"/>
      <w:kern w:val="0"/>
    </w:rPr>
  </w:style>
  <w:style w:type="character" w:customStyle="1" w:styleId="76">
    <w:name w:val="bg"/>
    <w:basedOn w:val="21"/>
    <w:qFormat/>
    <w:uiPriority w:val="0"/>
  </w:style>
  <w:style w:type="character" w:customStyle="1" w:styleId="77">
    <w:name w:val="mt21"/>
    <w:basedOn w:val="21"/>
    <w:qFormat/>
    <w:uiPriority w:val="0"/>
  </w:style>
  <w:style w:type="character" w:customStyle="1" w:styleId="78">
    <w:name w:val="hover3"/>
    <w:basedOn w:val="21"/>
    <w:qFormat/>
    <w:uiPriority w:val="0"/>
    <w:rPr>
      <w:color w:val="315EFB"/>
    </w:rPr>
  </w:style>
  <w:style w:type="character" w:customStyle="1" w:styleId="79">
    <w:name w:val="index-module_accountauthentication_3bwix"/>
    <w:basedOn w:val="21"/>
    <w:qFormat/>
    <w:uiPriority w:val="0"/>
  </w:style>
  <w:style w:type="character" w:customStyle="1" w:styleId="80">
    <w:name w:val="批注框文本 Char"/>
    <w:basedOn w:val="21"/>
    <w:link w:val="14"/>
    <w:qFormat/>
    <w:uiPriority w:val="0"/>
    <w:rPr>
      <w:rFonts w:asciiTheme="minorHAnsi" w:hAnsiTheme="minorHAnsi" w:eastAsiaTheme="minorEastAsia" w:cstheme="minorBidi"/>
      <w:kern w:val="2"/>
      <w:sz w:val="18"/>
      <w:szCs w:val="18"/>
    </w:rPr>
  </w:style>
  <w:style w:type="paragraph" w:customStyle="1" w:styleId="81">
    <w:name w:val="ql-align-cent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82">
    <w:name w:val="ql-align-justify"/>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83">
    <w:name w:val="ql-align-right"/>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84">
    <w:name w:val="Table Text"/>
    <w:basedOn w:val="1"/>
    <w:semiHidden/>
    <w:qFormat/>
    <w:uiPriority w:val="0"/>
    <w:rPr>
      <w:rFonts w:ascii="仿宋" w:hAnsi="仿宋" w:eastAsia="仿宋" w:cs="仿宋"/>
      <w:sz w:val="24"/>
      <w:szCs w:val="24"/>
      <w:lang w:val="en-US" w:eastAsia="en-US" w:bidi="ar-SA"/>
    </w:rPr>
  </w:style>
  <w:style w:type="table" w:customStyle="1" w:styleId="85">
    <w:name w:val="Table Normal"/>
    <w:semiHidden/>
    <w:unhideWhenUsed/>
    <w:qFormat/>
    <w:uiPriority w:val="0"/>
    <w:tblPr>
      <w:tblCellMar>
        <w:top w:w="0" w:type="dxa"/>
        <w:left w:w="0" w:type="dxa"/>
        <w:bottom w:w="0" w:type="dxa"/>
        <w:right w:w="0" w:type="dxa"/>
      </w:tblCellMar>
    </w:tblPr>
  </w:style>
  <w:style w:type="paragraph" w:customStyle="1" w:styleId="86">
    <w:name w:val="采购需求样式"/>
    <w:qFormat/>
    <w:uiPriority w:val="0"/>
    <w:pPr>
      <w:spacing w:before="47" w:line="222" w:lineRule="auto"/>
      <w:ind w:firstLine="562" w:firstLineChars="200"/>
      <w:outlineLvl w:val="1"/>
    </w:pPr>
    <w:rPr>
      <w:rFonts w:hint="eastAsia" w:ascii="宋体" w:hAnsi="宋体" w:eastAsia="宋体" w:cs="Times New Roman"/>
      <w:b/>
      <w:color w:val="000000"/>
      <w:sz w:val="28"/>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466</Words>
  <Characters>477</Characters>
  <Lines>111</Lines>
  <Paragraphs>31</Paragraphs>
  <TotalTime>0</TotalTime>
  <ScaleCrop>false</ScaleCrop>
  <LinksUpToDate>false</LinksUpToDate>
  <CharactersWithSpaces>477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2022-06-07T08:30:00Z</dcterms:created>
  <dc:creator>Administrator</dc:creator>
  <cp:lastModifiedBy>light</cp:lastModifiedBy>
  <cp:lastPrinted>2021-10-28T05:46:00Z</cp:lastPrinted>
  <dcterms:modified xsi:type="dcterms:W3CDTF">2025-09-09T08:58:40Z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847778B2A5A8468E804C4A97F39100D8_13</vt:lpwstr>
  </property>
  <property fmtid="{D5CDD505-2E9C-101B-9397-08002B2CF9AE}" pid="4" name="KSOTemplateDocerSaveRecord">
    <vt:lpwstr>eyJoZGlkIjoiYWIyODYxMjI2ZWMyYmJiMTYwMzk3YTM4ZTllYjAyZTgiLCJ1c2VySWQiOiIxMDI2NTUyNjU5In0=</vt:lpwstr>
  </property>
</Properties>
</file>