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FCD82">
      <w:pPr>
        <w:spacing w:line="360" w:lineRule="auto"/>
        <w:jc w:val="both"/>
        <w:rPr>
          <w:rFonts w:hint="eastAsia" w:ascii="仿宋" w:hAnsi="仿宋" w:eastAsia="仿宋" w:cs="仿宋"/>
          <w:color w:val="auto"/>
          <w:sz w:val="44"/>
          <w:lang w:val="en-US" w:eastAsia="zh-CN"/>
        </w:rPr>
      </w:pPr>
    </w:p>
    <w:p w14:paraId="334107A5">
      <w:pPr>
        <w:spacing w:line="360" w:lineRule="auto"/>
        <w:jc w:val="center"/>
        <w:rPr>
          <w:rFonts w:hint="eastAsia" w:ascii="仿宋" w:hAnsi="仿宋" w:eastAsia="仿宋" w:cs="仿宋"/>
          <w:color w:val="auto"/>
          <w:sz w:val="44"/>
        </w:rPr>
      </w:pPr>
    </w:p>
    <w:p w14:paraId="4DBE0F86">
      <w:pPr>
        <w:spacing w:line="360" w:lineRule="auto"/>
        <w:jc w:val="center"/>
        <w:rPr>
          <w:rFonts w:hint="eastAsia" w:ascii="仿宋" w:hAnsi="仿宋" w:eastAsia="仿宋" w:cs="仿宋"/>
          <w:color w:val="auto"/>
          <w:sz w:val="44"/>
        </w:rPr>
      </w:pPr>
    </w:p>
    <w:p w14:paraId="47A10065">
      <w:pPr>
        <w:spacing w:line="360" w:lineRule="auto"/>
        <w:jc w:val="center"/>
        <w:rPr>
          <w:rFonts w:hint="eastAsia" w:ascii="仿宋" w:hAnsi="仿宋" w:eastAsia="仿宋" w:cs="仿宋"/>
          <w:color w:val="auto"/>
          <w:sz w:val="44"/>
        </w:rPr>
      </w:pPr>
      <w:r>
        <w:rPr>
          <w:rFonts w:hint="eastAsia" w:ascii="仿宋" w:hAnsi="仿宋" w:eastAsia="仿宋" w:cs="仿宋"/>
          <w:color w:val="auto"/>
          <w:sz w:val="44"/>
        </w:rPr>
        <w:t>上饶市人民医院基于医学领域大模型应用联合实验室科研合作项目</w:t>
      </w:r>
    </w:p>
    <w:p w14:paraId="23155799">
      <w:pPr>
        <w:spacing w:line="360" w:lineRule="auto"/>
        <w:jc w:val="center"/>
        <w:rPr>
          <w:rFonts w:hint="eastAsia" w:ascii="仿宋" w:hAnsi="仿宋" w:eastAsia="仿宋" w:cs="仿宋"/>
          <w:color w:val="auto"/>
          <w:sz w:val="44"/>
        </w:rPr>
      </w:pPr>
    </w:p>
    <w:p w14:paraId="7E3B7238">
      <w:pPr>
        <w:spacing w:line="360" w:lineRule="auto"/>
        <w:jc w:val="center"/>
        <w:rPr>
          <w:rFonts w:hint="eastAsia" w:ascii="仿宋" w:hAnsi="仿宋" w:eastAsia="仿宋" w:cs="仿宋"/>
          <w:color w:val="auto"/>
          <w:sz w:val="44"/>
          <w:lang w:val="en-US" w:eastAsia="zh-CN"/>
        </w:rPr>
      </w:pPr>
      <w:r>
        <w:rPr>
          <w:rFonts w:hint="eastAsia" w:ascii="仿宋" w:hAnsi="仿宋" w:eastAsia="仿宋" w:cs="仿宋"/>
          <w:color w:val="auto"/>
          <w:sz w:val="44"/>
          <w:lang w:val="en-US" w:eastAsia="zh-CN"/>
        </w:rPr>
        <w:t>技术商务文件（参数）</w:t>
      </w:r>
    </w:p>
    <w:p w14:paraId="41261233">
      <w:pPr>
        <w:spacing w:line="360" w:lineRule="auto"/>
        <w:rPr>
          <w:rFonts w:hint="eastAsia" w:ascii="仿宋" w:hAnsi="仿宋" w:eastAsia="仿宋" w:cs="仿宋"/>
          <w:color w:val="auto"/>
          <w:sz w:val="44"/>
          <w:lang w:val="en-US" w:eastAsia="zh-CN"/>
        </w:rPr>
      </w:pPr>
      <w:r>
        <w:rPr>
          <w:rFonts w:hint="eastAsia" w:ascii="仿宋" w:hAnsi="仿宋" w:eastAsia="仿宋" w:cs="仿宋"/>
          <w:color w:val="auto"/>
          <w:sz w:val="44"/>
          <w:lang w:val="en-US" w:eastAsia="zh-CN"/>
        </w:rPr>
        <w:br w:type="page"/>
      </w:r>
    </w:p>
    <w:p w14:paraId="0E32F01D">
      <w:pPr>
        <w:pStyle w:val="2"/>
        <w:numPr>
          <w:ilvl w:val="0"/>
          <w:numId w:val="2"/>
        </w:numPr>
        <w:bidi w:val="0"/>
        <w:ind w:left="432" w:leftChars="0" w:hanging="432" w:firstLineChars="0"/>
        <w:rPr>
          <w:rFonts w:hint="eastAsia"/>
          <w:color w:val="auto"/>
          <w:lang w:val="en-US" w:eastAsia="zh-CN"/>
        </w:rPr>
      </w:pPr>
      <w:r>
        <w:rPr>
          <w:rFonts w:hint="eastAsia"/>
          <w:color w:val="auto"/>
          <w:lang w:val="en-US" w:eastAsia="zh-CN"/>
        </w:rPr>
        <w:t>采购项目概况</w:t>
      </w:r>
    </w:p>
    <w:p w14:paraId="74C42725">
      <w:pPr>
        <w:pStyle w:val="20"/>
        <w:numPr>
          <w:ilvl w:val="0"/>
          <w:numId w:val="3"/>
        </w:numPr>
        <w:spacing w:line="360" w:lineRule="auto"/>
        <w:outlineLvl w:val="1"/>
        <w:rPr>
          <w:rFonts w:hint="eastAsia" w:ascii="仿宋" w:hAnsi="仿宋" w:eastAsia="仿宋" w:cs="仿宋"/>
          <w:color w:val="auto"/>
          <w:sz w:val="32"/>
        </w:rPr>
      </w:pPr>
      <w:r>
        <w:rPr>
          <w:rFonts w:hint="eastAsia" w:ascii="仿宋" w:hAnsi="仿宋" w:eastAsia="仿宋" w:cs="仿宋"/>
          <w:color w:val="auto"/>
          <w:sz w:val="32"/>
        </w:rPr>
        <w:t>基本信息</w:t>
      </w:r>
    </w:p>
    <w:p w14:paraId="0DAFB218">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项目</w:t>
      </w:r>
      <w:r>
        <w:rPr>
          <w:rFonts w:hint="eastAsia" w:ascii="仿宋" w:hAnsi="仿宋" w:eastAsia="仿宋" w:cs="仿宋"/>
          <w:color w:val="auto"/>
          <w:sz w:val="28"/>
          <w:szCs w:val="28"/>
        </w:rPr>
        <w:t>名称：</w:t>
      </w:r>
      <w:r>
        <w:rPr>
          <w:rFonts w:hint="eastAsia" w:ascii="仿宋" w:hAnsi="仿宋" w:eastAsia="仿宋" w:cs="仿宋"/>
          <w:color w:val="auto"/>
          <w:sz w:val="28"/>
          <w:szCs w:val="28"/>
          <w:lang w:val="en-US" w:eastAsia="zh-CN"/>
        </w:rPr>
        <w:t>基于</w:t>
      </w:r>
      <w:r>
        <w:rPr>
          <w:rFonts w:hint="eastAsia" w:ascii="仿宋" w:hAnsi="仿宋" w:eastAsia="仿宋" w:cs="仿宋"/>
          <w:color w:val="auto"/>
          <w:sz w:val="28"/>
          <w:szCs w:val="28"/>
        </w:rPr>
        <w:t>医学大模型的医信融合创新场景科研项目</w:t>
      </w:r>
    </w:p>
    <w:p w14:paraId="2232DAAA">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数量：1 </w:t>
      </w:r>
    </w:p>
    <w:p w14:paraId="1AD0874B">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规格型号：定制</w:t>
      </w:r>
    </w:p>
    <w:p w14:paraId="0BF620F1">
      <w:pPr>
        <w:spacing w:line="360" w:lineRule="auto"/>
        <w:ind w:firstLine="560" w:firstLineChars="200"/>
        <w:jc w:val="left"/>
        <w:rPr>
          <w:rFonts w:hint="eastAsia" w:ascii="仿宋" w:hAnsi="仿宋" w:eastAsia="仿宋" w:cs="仿宋"/>
          <w:color w:val="auto"/>
          <w:sz w:val="28"/>
          <w:szCs w:val="28"/>
        </w:rPr>
      </w:pPr>
    </w:p>
    <w:p w14:paraId="171BA7E7">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服务时间：合同签订后</w:t>
      </w:r>
      <w:r>
        <w:rPr>
          <w:rFonts w:hint="eastAsia" w:ascii="仿宋" w:hAnsi="仿宋" w:eastAsia="仿宋" w:cs="仿宋"/>
          <w:color w:val="auto"/>
          <w:sz w:val="28"/>
          <w:szCs w:val="28"/>
          <w:lang w:val="en-US" w:eastAsia="zh-CN"/>
        </w:rPr>
        <w:t>两</w:t>
      </w:r>
      <w:r>
        <w:rPr>
          <w:rFonts w:hint="eastAsia" w:ascii="仿宋" w:hAnsi="仿宋" w:eastAsia="仿宋" w:cs="仿宋"/>
          <w:color w:val="auto"/>
          <w:sz w:val="28"/>
          <w:szCs w:val="28"/>
        </w:rPr>
        <w:t>年</w:t>
      </w:r>
    </w:p>
    <w:p w14:paraId="7964FA7D">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交货地点：上饶市人民医院采购人指定地点</w:t>
      </w:r>
    </w:p>
    <w:p w14:paraId="2917F753">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服务标准：符合国家或行业或地方标准、规范要求、符合招标文件要求，</w:t>
      </w:r>
      <w:r>
        <w:rPr>
          <w:rFonts w:hint="eastAsia" w:ascii="仿宋" w:hAnsi="仿宋" w:eastAsia="仿宋" w:cs="仿宋"/>
          <w:color w:val="auto"/>
          <w:sz w:val="28"/>
          <w:szCs w:val="28"/>
          <w:lang w:val="en-US" w:eastAsia="zh-CN"/>
        </w:rPr>
        <w:t>项目完成</w:t>
      </w:r>
      <w:r>
        <w:rPr>
          <w:rFonts w:hint="eastAsia" w:ascii="仿宋" w:hAnsi="仿宋" w:eastAsia="仿宋" w:cs="仿宋"/>
          <w:color w:val="auto"/>
          <w:sz w:val="28"/>
          <w:szCs w:val="28"/>
        </w:rPr>
        <w:t>验收合格并交付使用。</w:t>
      </w:r>
    </w:p>
    <w:p w14:paraId="199A3FF3">
      <w:pPr>
        <w:pStyle w:val="20"/>
        <w:numPr>
          <w:ilvl w:val="0"/>
          <w:numId w:val="3"/>
        </w:numPr>
        <w:spacing w:line="360" w:lineRule="auto"/>
        <w:outlineLvl w:val="1"/>
        <w:rPr>
          <w:rFonts w:hint="eastAsia" w:ascii="仿宋" w:hAnsi="仿宋" w:eastAsia="仿宋" w:cs="仿宋"/>
          <w:color w:val="auto"/>
          <w:sz w:val="32"/>
        </w:rPr>
      </w:pPr>
      <w:r>
        <w:rPr>
          <w:rFonts w:hint="eastAsia" w:ascii="仿宋" w:hAnsi="仿宋" w:eastAsia="仿宋" w:cs="仿宋"/>
          <w:color w:val="auto"/>
          <w:sz w:val="32"/>
        </w:rPr>
        <w:t>标的概况</w:t>
      </w:r>
    </w:p>
    <w:p w14:paraId="1D547379">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上饶市人民医院为提升医院信息化建设水平，提升医信部人员的业务水平及科研创新能力与转化能力，充分利用医学场景资源，促进科技创新和成果转化，共同建设医院信息化联合实验室。“基于医学领域大模型应用联合实验室科研合作项目"是由上饶市人民医院与国内领先的人工智能技术机构（或高校科研团队）联合共建的前沿医学研究平台。</w:t>
      </w:r>
    </w:p>
    <w:p w14:paraId="4CC2DB90">
      <w:pPr>
        <w:pStyle w:val="20"/>
        <w:numPr>
          <w:ilvl w:val="0"/>
          <w:numId w:val="3"/>
        </w:numPr>
        <w:spacing w:line="360" w:lineRule="auto"/>
        <w:outlineLvl w:val="1"/>
        <w:rPr>
          <w:rFonts w:hint="eastAsia" w:ascii="仿宋" w:hAnsi="仿宋" w:eastAsia="仿宋" w:cs="仿宋"/>
          <w:color w:val="auto"/>
          <w:sz w:val="32"/>
        </w:rPr>
      </w:pPr>
      <w:r>
        <w:rPr>
          <w:rFonts w:hint="eastAsia" w:ascii="仿宋" w:hAnsi="仿宋" w:eastAsia="仿宋" w:cs="仿宋"/>
          <w:color w:val="auto"/>
          <w:sz w:val="32"/>
          <w:lang w:val="en-US" w:eastAsia="zh-CN"/>
        </w:rPr>
        <w:t>建设目标：</w:t>
      </w:r>
    </w:p>
    <w:p w14:paraId="5590A0A4">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一、技术能力建设目标</w:t>
      </w:r>
    </w:p>
    <w:p w14:paraId="480C438C">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医学智能化系统集成要求</w:t>
      </w:r>
    </w:p>
    <w:p w14:paraId="6A923EF0">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投标方需提供以下核心功能模块的完整技术方案，并确保与甲方现有系统兼容：</w:t>
      </w:r>
    </w:p>
    <w:p w14:paraId="311B7C5B">
      <w:pPr>
        <w:spacing w:line="360" w:lineRule="auto"/>
        <w:ind w:firstLine="560" w:firstLineChars="200"/>
        <w:jc w:val="left"/>
        <w:rPr>
          <w:rFonts w:hint="eastAsia" w:ascii="仿宋" w:hAnsi="仿宋" w:eastAsia="仿宋" w:cs="仿宋"/>
          <w:color w:val="auto"/>
          <w:sz w:val="28"/>
          <w:szCs w:val="28"/>
          <w:lang w:val="en-US" w:eastAsia="zh-CN"/>
        </w:rPr>
      </w:pPr>
    </w:p>
    <w:p w14:paraId="0127596A">
      <w:pPr>
        <w:numPr>
          <w:ilvl w:val="0"/>
          <w:numId w:val="4"/>
        </w:numPr>
        <w:spacing w:line="360" w:lineRule="auto"/>
        <w:ind w:left="845" w:leftChars="0" w:hanging="425" w:firstLine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医学领域大模型及知识库构建能力</w:t>
      </w:r>
    </w:p>
    <w:p w14:paraId="4F6829D3">
      <w:pPr>
        <w:numPr>
          <w:ilvl w:val="0"/>
          <w:numId w:val="4"/>
        </w:numPr>
        <w:spacing w:line="360" w:lineRule="auto"/>
        <w:ind w:left="845" w:leftChars="0" w:hanging="425" w:firstLine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医学Copilot（医生助手）</w:t>
      </w:r>
    </w:p>
    <w:p w14:paraId="7934D821">
      <w:pPr>
        <w:numPr>
          <w:ilvl w:val="0"/>
          <w:numId w:val="4"/>
        </w:numPr>
        <w:spacing w:line="360" w:lineRule="auto"/>
        <w:ind w:left="845" w:leftChars="0" w:hanging="425" w:firstLine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AI患者精准追踪系统</w:t>
      </w:r>
    </w:p>
    <w:p w14:paraId="3AE1E877">
      <w:pPr>
        <w:numPr>
          <w:ilvl w:val="0"/>
          <w:numId w:val="4"/>
        </w:numPr>
        <w:spacing w:line="360" w:lineRule="auto"/>
        <w:ind w:left="845" w:leftChars="0" w:hanging="425" w:firstLine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全流程病历内涵质控</w:t>
      </w:r>
    </w:p>
    <w:p w14:paraId="4A8C0153">
      <w:pPr>
        <w:numPr>
          <w:ilvl w:val="0"/>
          <w:numId w:val="4"/>
        </w:numPr>
        <w:spacing w:line="360" w:lineRule="auto"/>
        <w:ind w:left="845" w:leftChars="0" w:hanging="425" w:firstLine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智能编码</w:t>
      </w:r>
    </w:p>
    <w:p w14:paraId="6628EB2B">
      <w:pPr>
        <w:numPr>
          <w:ilvl w:val="0"/>
          <w:numId w:val="4"/>
        </w:numPr>
        <w:spacing w:line="360" w:lineRule="auto"/>
        <w:ind w:left="845" w:leftChars="0" w:hanging="425" w:firstLine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支持合作期内新增医学AI产品及服务的无缝扩展</w:t>
      </w:r>
    </w:p>
    <w:p w14:paraId="0637ABDF">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二、科研合作目标</w:t>
      </w:r>
    </w:p>
    <w:p w14:paraId="03DB5058">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投标方需承诺在合作周期内协助甲方完成以下科研指标中的至少两项：</w:t>
      </w:r>
    </w:p>
    <w:p w14:paraId="3F50B598">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1)知识产权成果：乙方支持甲方申报发明专利≥2项，完成软件著作权登记≥3项。</w:t>
      </w:r>
    </w:p>
    <w:p w14:paraId="1D314FF2">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2)学术论文产出：以甲方为第一/通讯作者单位发表高质量论文≥2篇。</w:t>
      </w:r>
    </w:p>
    <w:p w14:paraId="7B4E9267">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3)科研项目申报：联合申报各级政府的科研立项1项。</w:t>
      </w:r>
    </w:p>
    <w:p w14:paraId="68BDEF85">
      <w:pPr>
        <w:spacing w:line="360" w:lineRule="auto"/>
        <w:ind w:firstLine="560" w:firstLineChars="200"/>
        <w:jc w:val="left"/>
        <w:rPr>
          <w:rFonts w:hint="eastAsia" w:ascii="仿宋" w:hAnsi="仿宋" w:eastAsia="仿宋" w:cs="仿宋"/>
          <w:color w:val="auto"/>
          <w:sz w:val="28"/>
          <w:szCs w:val="28"/>
          <w:lang w:val="en-US" w:eastAsia="zh-CN"/>
        </w:rPr>
      </w:pPr>
    </w:p>
    <w:p w14:paraId="0AC3123D">
      <w:pPr>
        <w:pStyle w:val="2"/>
        <w:numPr>
          <w:ilvl w:val="0"/>
          <w:numId w:val="2"/>
        </w:numPr>
        <w:bidi w:val="0"/>
        <w:ind w:left="432" w:leftChars="0" w:hanging="432" w:firstLineChars="0"/>
        <w:rPr>
          <w:rFonts w:hint="eastAsia"/>
          <w:color w:val="auto"/>
          <w:lang w:val="en-US" w:eastAsia="zh-CN"/>
        </w:rPr>
      </w:pPr>
      <w:r>
        <w:rPr>
          <w:rFonts w:hint="eastAsia"/>
          <w:color w:val="auto"/>
          <w:lang w:val="en-US" w:eastAsia="zh-CN"/>
        </w:rPr>
        <w:t>招标内容及要求</w:t>
      </w:r>
    </w:p>
    <w:p w14:paraId="0708FF15">
      <w:pPr>
        <w:pStyle w:val="20"/>
        <w:numPr>
          <w:ilvl w:val="0"/>
          <w:numId w:val="5"/>
        </w:numPr>
        <w:spacing w:line="360" w:lineRule="auto"/>
        <w:outlineLvl w:val="1"/>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采购内容</w:t>
      </w:r>
    </w:p>
    <w:p w14:paraId="76C085EF">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(1)研究目的</w:t>
      </w:r>
    </w:p>
    <w:p w14:paraId="2E4D8F3B">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该项目旨在通过整合医疗行业资源与大模型技术能力，构建医学垂直领域的人工智能创新应用实验室，推动人工智能技术与临床医学、科研及健康管理的深度融合，共同探索医学大模型的应用场景，推动医学与信息技术的实际应用。协助医院申报各级科研立项、软件项目应用开发及成果转化。人才的培养与合作交流，甲方通过科研合作、进修、技术培训等方式至乙方科研平台学习、训练，培养良好的开展科研实验素养和能力等。</w:t>
      </w:r>
    </w:p>
    <w:p w14:paraId="3788EE84">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(2)采购内容</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260"/>
        <w:gridCol w:w="4546"/>
        <w:gridCol w:w="1183"/>
        <w:gridCol w:w="771"/>
      </w:tblGrid>
      <w:tr w14:paraId="2221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66D7D3D">
            <w:pPr>
              <w:numPr>
                <w:ilvl w:val="0"/>
                <w:numId w:val="0"/>
              </w:num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1260" w:type="dxa"/>
            <w:vAlign w:val="center"/>
          </w:tcPr>
          <w:p w14:paraId="4902EFE1">
            <w:pPr>
              <w:numPr>
                <w:ilvl w:val="0"/>
                <w:numId w:val="0"/>
              </w:num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标的名称</w:t>
            </w:r>
          </w:p>
        </w:tc>
        <w:tc>
          <w:tcPr>
            <w:tcW w:w="4546" w:type="dxa"/>
            <w:vAlign w:val="center"/>
          </w:tcPr>
          <w:p w14:paraId="5B795F85">
            <w:pPr>
              <w:numPr>
                <w:ilvl w:val="0"/>
                <w:numId w:val="0"/>
              </w:num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研究内容</w:t>
            </w:r>
          </w:p>
        </w:tc>
        <w:tc>
          <w:tcPr>
            <w:tcW w:w="1183" w:type="dxa"/>
            <w:vAlign w:val="center"/>
          </w:tcPr>
          <w:p w14:paraId="22CB6BC7">
            <w:pPr>
              <w:numPr>
                <w:ilvl w:val="0"/>
                <w:numId w:val="0"/>
              </w:num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771" w:type="dxa"/>
            <w:vAlign w:val="center"/>
          </w:tcPr>
          <w:p w14:paraId="2B927716">
            <w:pPr>
              <w:numPr>
                <w:ilvl w:val="0"/>
                <w:numId w:val="0"/>
              </w:num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14:paraId="263D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1BF3956E">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260" w:type="dxa"/>
            <w:vMerge w:val="restart"/>
            <w:vAlign w:val="center"/>
          </w:tcPr>
          <w:p w14:paraId="3E1C1AC9">
            <w:pPr>
              <w:numPr>
                <w:ilvl w:val="0"/>
                <w:numId w:val="0"/>
              </w:num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基于</w:t>
            </w:r>
            <w:r>
              <w:rPr>
                <w:rFonts w:hint="eastAsia" w:ascii="仿宋" w:hAnsi="仿宋" w:eastAsia="仿宋" w:cs="仿宋"/>
                <w:color w:val="auto"/>
                <w:sz w:val="24"/>
                <w:szCs w:val="24"/>
              </w:rPr>
              <w:t>医学大模型的医信融合创新场景科研项目</w:t>
            </w:r>
          </w:p>
        </w:tc>
        <w:tc>
          <w:tcPr>
            <w:tcW w:w="4546" w:type="dxa"/>
            <w:vAlign w:val="center"/>
          </w:tcPr>
          <w:p w14:paraId="3EE49B3A">
            <w:pPr>
              <w:numPr>
                <w:ilvl w:val="0"/>
                <w:numId w:val="0"/>
              </w:num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医学领域大语言模型</w:t>
            </w:r>
          </w:p>
        </w:tc>
        <w:tc>
          <w:tcPr>
            <w:tcW w:w="1183" w:type="dxa"/>
            <w:vAlign w:val="center"/>
          </w:tcPr>
          <w:p w14:paraId="2F0DC695">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1.00</w:t>
            </w:r>
          </w:p>
        </w:tc>
        <w:tc>
          <w:tcPr>
            <w:tcW w:w="771" w:type="dxa"/>
            <w:vAlign w:val="center"/>
          </w:tcPr>
          <w:p w14:paraId="64C5A5EB">
            <w:pPr>
              <w:numPr>
                <w:ilvl w:val="0"/>
                <w:numId w:val="0"/>
              </w:numPr>
              <w:spacing w:line="360" w:lineRule="auto"/>
              <w:jc w:val="both"/>
              <w:rPr>
                <w:rFonts w:hint="eastAsia" w:ascii="仿宋" w:hAnsi="仿宋" w:eastAsia="仿宋" w:cs="仿宋"/>
                <w:color w:val="auto"/>
                <w:sz w:val="24"/>
                <w:szCs w:val="24"/>
                <w:vertAlign w:val="baseline"/>
                <w:lang w:val="en-US" w:eastAsia="zh-CN"/>
              </w:rPr>
            </w:pPr>
          </w:p>
        </w:tc>
      </w:tr>
      <w:tr w14:paraId="0D52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348C4F63">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260" w:type="dxa"/>
            <w:vMerge w:val="continue"/>
            <w:vAlign w:val="center"/>
          </w:tcPr>
          <w:p w14:paraId="3B6AA278">
            <w:pPr>
              <w:numPr>
                <w:ilvl w:val="0"/>
                <w:numId w:val="0"/>
              </w:numPr>
              <w:spacing w:line="360" w:lineRule="auto"/>
              <w:jc w:val="both"/>
              <w:rPr>
                <w:rFonts w:hint="eastAsia" w:ascii="仿宋" w:hAnsi="仿宋" w:eastAsia="仿宋" w:cs="仿宋"/>
                <w:color w:val="auto"/>
                <w:sz w:val="24"/>
                <w:szCs w:val="24"/>
                <w:vertAlign w:val="baseline"/>
                <w:lang w:val="en-US" w:eastAsia="zh-CN"/>
              </w:rPr>
            </w:pPr>
          </w:p>
        </w:tc>
        <w:tc>
          <w:tcPr>
            <w:tcW w:w="4546" w:type="dxa"/>
            <w:vAlign w:val="center"/>
          </w:tcPr>
          <w:p w14:paraId="20970627">
            <w:pPr>
              <w:numPr>
                <w:ilvl w:val="0"/>
                <w:numId w:val="0"/>
              </w:num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医学知识库</w:t>
            </w:r>
          </w:p>
        </w:tc>
        <w:tc>
          <w:tcPr>
            <w:tcW w:w="1183" w:type="dxa"/>
            <w:vAlign w:val="center"/>
          </w:tcPr>
          <w:p w14:paraId="080FD274">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1.00</w:t>
            </w:r>
          </w:p>
        </w:tc>
        <w:tc>
          <w:tcPr>
            <w:tcW w:w="771" w:type="dxa"/>
            <w:vAlign w:val="center"/>
          </w:tcPr>
          <w:p w14:paraId="09B18FCC">
            <w:pPr>
              <w:numPr>
                <w:ilvl w:val="0"/>
                <w:numId w:val="0"/>
              </w:numPr>
              <w:spacing w:line="360" w:lineRule="auto"/>
              <w:jc w:val="both"/>
              <w:rPr>
                <w:rFonts w:hint="eastAsia" w:ascii="仿宋" w:hAnsi="仿宋" w:eastAsia="仿宋" w:cs="仿宋"/>
                <w:color w:val="auto"/>
                <w:sz w:val="24"/>
                <w:szCs w:val="24"/>
                <w:vertAlign w:val="baseline"/>
                <w:lang w:val="en-US" w:eastAsia="zh-CN"/>
              </w:rPr>
            </w:pPr>
          </w:p>
        </w:tc>
      </w:tr>
      <w:tr w14:paraId="3341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4EE0808C">
            <w:pPr>
              <w:numPr>
                <w:ilvl w:val="0"/>
                <w:numId w:val="0"/>
              </w:numPr>
              <w:spacing w:line="360" w:lineRule="auto"/>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260" w:type="dxa"/>
            <w:vMerge w:val="continue"/>
            <w:vAlign w:val="center"/>
          </w:tcPr>
          <w:p w14:paraId="44FA5B14">
            <w:pPr>
              <w:numPr>
                <w:ilvl w:val="0"/>
                <w:numId w:val="0"/>
              </w:numPr>
              <w:spacing w:line="360" w:lineRule="auto"/>
              <w:jc w:val="both"/>
              <w:rPr>
                <w:rFonts w:hint="eastAsia" w:ascii="仿宋" w:hAnsi="仿宋" w:eastAsia="仿宋" w:cs="仿宋"/>
                <w:color w:val="auto"/>
                <w:sz w:val="24"/>
                <w:szCs w:val="24"/>
                <w:vertAlign w:val="baseline"/>
                <w:lang w:val="en-US" w:eastAsia="zh-CN"/>
              </w:rPr>
            </w:pPr>
          </w:p>
        </w:tc>
        <w:tc>
          <w:tcPr>
            <w:tcW w:w="4546" w:type="dxa"/>
            <w:vAlign w:val="center"/>
          </w:tcPr>
          <w:p w14:paraId="15E3D7D0">
            <w:pPr>
              <w:numPr>
                <w:ilvl w:val="0"/>
                <w:numId w:val="0"/>
              </w:numPr>
              <w:spacing w:line="360" w:lineRule="auto"/>
              <w:jc w:val="both"/>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基于大模型的医学Copilot（医生助手）</w:t>
            </w:r>
          </w:p>
        </w:tc>
        <w:tc>
          <w:tcPr>
            <w:tcW w:w="1183" w:type="dxa"/>
            <w:vAlign w:val="center"/>
          </w:tcPr>
          <w:p w14:paraId="30AEA371">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1.00</w:t>
            </w:r>
          </w:p>
        </w:tc>
        <w:tc>
          <w:tcPr>
            <w:tcW w:w="771" w:type="dxa"/>
            <w:vAlign w:val="center"/>
          </w:tcPr>
          <w:p w14:paraId="42A1BBE6">
            <w:pPr>
              <w:numPr>
                <w:ilvl w:val="0"/>
                <w:numId w:val="0"/>
              </w:numPr>
              <w:spacing w:line="360" w:lineRule="auto"/>
              <w:jc w:val="both"/>
              <w:rPr>
                <w:rFonts w:hint="eastAsia" w:ascii="仿宋" w:hAnsi="仿宋" w:eastAsia="仿宋" w:cs="仿宋"/>
                <w:color w:val="auto"/>
                <w:sz w:val="24"/>
                <w:szCs w:val="24"/>
                <w:vertAlign w:val="baseline"/>
                <w:lang w:val="en-US" w:eastAsia="zh-CN"/>
              </w:rPr>
            </w:pPr>
          </w:p>
        </w:tc>
      </w:tr>
      <w:tr w14:paraId="727F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4B8CCD18">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260" w:type="dxa"/>
            <w:vMerge w:val="continue"/>
            <w:vAlign w:val="center"/>
          </w:tcPr>
          <w:p w14:paraId="2137C1BA">
            <w:pPr>
              <w:numPr>
                <w:ilvl w:val="0"/>
                <w:numId w:val="0"/>
              </w:numPr>
              <w:spacing w:line="360" w:lineRule="auto"/>
              <w:jc w:val="both"/>
              <w:rPr>
                <w:rFonts w:hint="eastAsia" w:ascii="仿宋" w:hAnsi="仿宋" w:eastAsia="仿宋" w:cs="仿宋"/>
                <w:color w:val="auto"/>
                <w:sz w:val="24"/>
                <w:szCs w:val="24"/>
                <w:vertAlign w:val="baseline"/>
                <w:lang w:val="en-US" w:eastAsia="zh-CN"/>
              </w:rPr>
            </w:pPr>
          </w:p>
        </w:tc>
        <w:tc>
          <w:tcPr>
            <w:tcW w:w="4546" w:type="dxa"/>
            <w:vAlign w:val="center"/>
          </w:tcPr>
          <w:p w14:paraId="418E8F95">
            <w:pPr>
              <w:numPr>
                <w:ilvl w:val="0"/>
                <w:numId w:val="0"/>
              </w:num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基于大模型面向病历分析的Al患者精准追踪系统</w:t>
            </w:r>
          </w:p>
        </w:tc>
        <w:tc>
          <w:tcPr>
            <w:tcW w:w="1183" w:type="dxa"/>
            <w:vAlign w:val="center"/>
          </w:tcPr>
          <w:p w14:paraId="77E029E1">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1.00</w:t>
            </w:r>
          </w:p>
        </w:tc>
        <w:tc>
          <w:tcPr>
            <w:tcW w:w="771" w:type="dxa"/>
            <w:vAlign w:val="center"/>
          </w:tcPr>
          <w:p w14:paraId="08A186F6">
            <w:pPr>
              <w:numPr>
                <w:ilvl w:val="0"/>
                <w:numId w:val="0"/>
              </w:numPr>
              <w:spacing w:line="360" w:lineRule="auto"/>
              <w:jc w:val="both"/>
              <w:rPr>
                <w:rFonts w:hint="eastAsia" w:ascii="仿宋" w:hAnsi="仿宋" w:eastAsia="仿宋" w:cs="仿宋"/>
                <w:color w:val="auto"/>
                <w:sz w:val="24"/>
                <w:szCs w:val="24"/>
                <w:vertAlign w:val="baseline"/>
                <w:lang w:val="en-US" w:eastAsia="zh-CN"/>
              </w:rPr>
            </w:pPr>
          </w:p>
        </w:tc>
      </w:tr>
      <w:tr w14:paraId="0798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5BBF5CDF">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1260" w:type="dxa"/>
            <w:vMerge w:val="continue"/>
            <w:vAlign w:val="center"/>
          </w:tcPr>
          <w:p w14:paraId="4C9D8E25">
            <w:pPr>
              <w:numPr>
                <w:ilvl w:val="0"/>
                <w:numId w:val="0"/>
              </w:numPr>
              <w:spacing w:line="360" w:lineRule="auto"/>
              <w:jc w:val="both"/>
              <w:rPr>
                <w:rFonts w:hint="eastAsia" w:ascii="仿宋" w:hAnsi="仿宋" w:eastAsia="仿宋" w:cs="仿宋"/>
                <w:color w:val="auto"/>
                <w:sz w:val="24"/>
                <w:szCs w:val="24"/>
                <w:vertAlign w:val="baseline"/>
                <w:lang w:val="en-US" w:eastAsia="zh-CN"/>
              </w:rPr>
            </w:pPr>
          </w:p>
        </w:tc>
        <w:tc>
          <w:tcPr>
            <w:tcW w:w="4546" w:type="dxa"/>
            <w:vAlign w:val="center"/>
          </w:tcPr>
          <w:p w14:paraId="55592167">
            <w:pPr>
              <w:numPr>
                <w:ilvl w:val="0"/>
                <w:numId w:val="0"/>
              </w:num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基于大模型面向医疗管理的全流程病历内涵质控</w:t>
            </w:r>
          </w:p>
        </w:tc>
        <w:tc>
          <w:tcPr>
            <w:tcW w:w="1183" w:type="dxa"/>
            <w:vAlign w:val="center"/>
          </w:tcPr>
          <w:p w14:paraId="255BD4DD">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1.00</w:t>
            </w:r>
          </w:p>
        </w:tc>
        <w:tc>
          <w:tcPr>
            <w:tcW w:w="771" w:type="dxa"/>
            <w:vAlign w:val="center"/>
          </w:tcPr>
          <w:p w14:paraId="4B83CAB0">
            <w:pPr>
              <w:numPr>
                <w:ilvl w:val="0"/>
                <w:numId w:val="0"/>
              </w:numPr>
              <w:spacing w:line="360" w:lineRule="auto"/>
              <w:jc w:val="both"/>
              <w:rPr>
                <w:rFonts w:hint="eastAsia" w:ascii="仿宋" w:hAnsi="仿宋" w:eastAsia="仿宋" w:cs="仿宋"/>
                <w:color w:val="auto"/>
                <w:sz w:val="24"/>
                <w:szCs w:val="24"/>
                <w:vertAlign w:val="baseline"/>
                <w:lang w:val="en-US" w:eastAsia="zh-CN"/>
              </w:rPr>
            </w:pPr>
          </w:p>
        </w:tc>
      </w:tr>
      <w:tr w14:paraId="2BFD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3214F5DA">
            <w:pPr>
              <w:numPr>
                <w:ilvl w:val="0"/>
                <w:numId w:val="0"/>
              </w:numPr>
              <w:spacing w:line="360" w:lineRule="auto"/>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1260" w:type="dxa"/>
            <w:vMerge w:val="continue"/>
            <w:vAlign w:val="center"/>
          </w:tcPr>
          <w:p w14:paraId="76E536F5">
            <w:pPr>
              <w:numPr>
                <w:ilvl w:val="0"/>
                <w:numId w:val="0"/>
              </w:numPr>
              <w:spacing w:line="360" w:lineRule="auto"/>
              <w:jc w:val="both"/>
              <w:rPr>
                <w:rFonts w:hint="eastAsia" w:ascii="仿宋" w:hAnsi="仿宋" w:eastAsia="仿宋" w:cs="仿宋"/>
                <w:color w:val="auto"/>
                <w:sz w:val="24"/>
                <w:szCs w:val="24"/>
                <w:vertAlign w:val="baseline"/>
                <w:lang w:val="en-US" w:eastAsia="zh-CN"/>
              </w:rPr>
            </w:pPr>
          </w:p>
        </w:tc>
        <w:tc>
          <w:tcPr>
            <w:tcW w:w="4546" w:type="dxa"/>
            <w:vAlign w:val="center"/>
          </w:tcPr>
          <w:p w14:paraId="5021F8C6">
            <w:pPr>
              <w:numPr>
                <w:ilvl w:val="0"/>
                <w:numId w:val="0"/>
              </w:numPr>
              <w:spacing w:line="360" w:lineRule="auto"/>
              <w:jc w:val="both"/>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智能编码</w:t>
            </w:r>
          </w:p>
        </w:tc>
        <w:tc>
          <w:tcPr>
            <w:tcW w:w="1183" w:type="dxa"/>
            <w:vAlign w:val="center"/>
          </w:tcPr>
          <w:p w14:paraId="5B2E657D">
            <w:pPr>
              <w:numPr>
                <w:ilvl w:val="0"/>
                <w:numId w:val="0"/>
              </w:numPr>
              <w:spacing w:line="360" w:lineRule="auto"/>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1.00</w:t>
            </w:r>
          </w:p>
        </w:tc>
        <w:tc>
          <w:tcPr>
            <w:tcW w:w="771" w:type="dxa"/>
            <w:vAlign w:val="center"/>
          </w:tcPr>
          <w:p w14:paraId="7383FDFA">
            <w:pPr>
              <w:numPr>
                <w:ilvl w:val="0"/>
                <w:numId w:val="0"/>
              </w:numPr>
              <w:spacing w:line="360" w:lineRule="auto"/>
              <w:jc w:val="both"/>
              <w:rPr>
                <w:rFonts w:hint="eastAsia" w:ascii="仿宋" w:hAnsi="仿宋" w:eastAsia="仿宋" w:cs="仿宋"/>
                <w:color w:val="auto"/>
                <w:sz w:val="24"/>
                <w:szCs w:val="24"/>
                <w:vertAlign w:val="baseline"/>
                <w:lang w:val="en-US" w:eastAsia="zh-CN"/>
              </w:rPr>
            </w:pPr>
          </w:p>
        </w:tc>
      </w:tr>
    </w:tbl>
    <w:p w14:paraId="685362E1">
      <w:pPr>
        <w:pStyle w:val="20"/>
        <w:numPr>
          <w:ilvl w:val="0"/>
          <w:numId w:val="5"/>
        </w:numPr>
        <w:spacing w:line="360" w:lineRule="auto"/>
        <w:outlineLvl w:val="1"/>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技术和服务要求（不允许负偏离）</w:t>
      </w:r>
    </w:p>
    <w:p w14:paraId="66F0CD32">
      <w:pPr>
        <w:pStyle w:val="21"/>
        <w:spacing w:line="360" w:lineRule="auto"/>
        <w:ind w:firstLine="562" w:firstLineChars="200"/>
        <w:jc w:val="both"/>
        <w:outlineLvl w:val="1"/>
        <w:rPr>
          <w:rFonts w:hint="eastAsia" w:ascii="仿宋" w:hAnsi="仿宋" w:eastAsia="仿宋" w:cs="仿宋"/>
          <w:b/>
          <w:color w:val="auto"/>
          <w:sz w:val="28"/>
          <w:lang w:val="en-US" w:eastAsia="zh-CN"/>
        </w:rPr>
      </w:pPr>
      <w:r>
        <w:rPr>
          <w:rFonts w:hint="eastAsia" w:ascii="仿宋" w:hAnsi="仿宋" w:eastAsia="仿宋" w:cs="仿宋"/>
          <w:b/>
          <w:color w:val="auto"/>
          <w:sz w:val="28"/>
          <w:lang w:val="en-US" w:eastAsia="zh-CN"/>
        </w:rPr>
        <w:t>医学大模型技术参数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335"/>
        <w:gridCol w:w="1380"/>
        <w:gridCol w:w="5059"/>
      </w:tblGrid>
      <w:tr w14:paraId="7548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Mar>
              <w:top w:w="0" w:type="dxa"/>
              <w:left w:w="105" w:type="dxa"/>
              <w:bottom w:w="0" w:type="dxa"/>
              <w:right w:w="105" w:type="dxa"/>
            </w:tcMar>
            <w:vAlign w:val="top"/>
          </w:tcPr>
          <w:p w14:paraId="37C71559">
            <w:pPr>
              <w:pStyle w:val="21"/>
              <w:spacing w:line="360" w:lineRule="auto"/>
              <w:jc w:val="center"/>
              <w:rPr>
                <w:rFonts w:hint="eastAsia" w:ascii="仿宋" w:hAnsi="仿宋" w:eastAsia="仿宋" w:cs="仿宋"/>
                <w:color w:val="auto"/>
              </w:rPr>
            </w:pPr>
            <w:r>
              <w:rPr>
                <w:rFonts w:hint="eastAsia" w:ascii="仿宋" w:hAnsi="仿宋" w:eastAsia="仿宋" w:cs="仿宋"/>
                <w:b/>
                <w:color w:val="auto"/>
                <w:sz w:val="24"/>
              </w:rPr>
              <w:t>序号</w:t>
            </w:r>
          </w:p>
        </w:tc>
        <w:tc>
          <w:tcPr>
            <w:tcW w:w="2715" w:type="dxa"/>
            <w:gridSpan w:val="2"/>
            <w:tcMar>
              <w:top w:w="0" w:type="dxa"/>
              <w:left w:w="105" w:type="dxa"/>
              <w:bottom w:w="0" w:type="dxa"/>
              <w:right w:w="105" w:type="dxa"/>
            </w:tcMar>
            <w:vAlign w:val="top"/>
          </w:tcPr>
          <w:p w14:paraId="4C9822F1">
            <w:pPr>
              <w:pStyle w:val="21"/>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功能模块</w:t>
            </w:r>
          </w:p>
        </w:tc>
        <w:tc>
          <w:tcPr>
            <w:tcW w:w="5059" w:type="dxa"/>
            <w:tcMar>
              <w:top w:w="0" w:type="dxa"/>
              <w:left w:w="105" w:type="dxa"/>
              <w:bottom w:w="0" w:type="dxa"/>
              <w:right w:w="105" w:type="dxa"/>
            </w:tcMar>
            <w:vAlign w:val="top"/>
          </w:tcPr>
          <w:p w14:paraId="1B9AE03D">
            <w:pPr>
              <w:pStyle w:val="21"/>
              <w:spacing w:line="360" w:lineRule="auto"/>
              <w:jc w:val="center"/>
              <w:rPr>
                <w:rFonts w:hint="eastAsia" w:ascii="仿宋" w:hAnsi="仿宋" w:eastAsia="仿宋" w:cs="仿宋"/>
                <w:color w:val="auto"/>
              </w:rPr>
            </w:pPr>
            <w:r>
              <w:rPr>
                <w:rFonts w:hint="eastAsia" w:ascii="仿宋" w:hAnsi="仿宋" w:eastAsia="仿宋" w:cs="仿宋"/>
                <w:b/>
                <w:color w:val="auto"/>
                <w:sz w:val="24"/>
                <w:lang w:val="en-US" w:eastAsia="zh-CN"/>
              </w:rPr>
              <w:t>参数</w:t>
            </w:r>
            <w:r>
              <w:rPr>
                <w:rFonts w:hint="eastAsia" w:ascii="仿宋" w:hAnsi="仿宋" w:eastAsia="仿宋" w:cs="仿宋"/>
                <w:b/>
                <w:color w:val="auto"/>
                <w:sz w:val="24"/>
              </w:rPr>
              <w:t>描述</w:t>
            </w:r>
          </w:p>
        </w:tc>
      </w:tr>
      <w:tr w14:paraId="58BE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Mar>
              <w:top w:w="0" w:type="dxa"/>
              <w:left w:w="105" w:type="dxa"/>
              <w:bottom w:w="0" w:type="dxa"/>
              <w:right w:w="105" w:type="dxa"/>
            </w:tcMar>
            <w:vAlign w:val="top"/>
          </w:tcPr>
          <w:p w14:paraId="5966260D">
            <w:pPr>
              <w:pStyle w:val="21"/>
              <w:spacing w:line="360" w:lineRule="auto"/>
              <w:jc w:val="center"/>
              <w:rPr>
                <w:rFonts w:hint="eastAsia" w:ascii="仿宋" w:hAnsi="仿宋" w:eastAsia="仿宋" w:cs="仿宋"/>
                <w:color w:val="auto"/>
              </w:rPr>
            </w:pPr>
            <w:r>
              <w:rPr>
                <w:rFonts w:hint="eastAsia" w:ascii="仿宋" w:hAnsi="仿宋" w:eastAsia="仿宋" w:cs="仿宋"/>
                <w:color w:val="auto"/>
                <w:sz w:val="24"/>
              </w:rPr>
              <w:t>1</w:t>
            </w:r>
          </w:p>
        </w:tc>
        <w:tc>
          <w:tcPr>
            <w:tcW w:w="1335" w:type="dxa"/>
            <w:tcMar>
              <w:top w:w="0" w:type="dxa"/>
              <w:left w:w="105" w:type="dxa"/>
              <w:bottom w:w="0" w:type="dxa"/>
              <w:right w:w="105" w:type="dxa"/>
            </w:tcMar>
            <w:vAlign w:val="top"/>
          </w:tcPr>
          <w:p w14:paraId="1EE4F26E">
            <w:pPr>
              <w:pStyle w:val="21"/>
              <w:spacing w:line="360" w:lineRule="auto"/>
              <w:jc w:val="both"/>
              <w:rPr>
                <w:rFonts w:hint="eastAsia" w:ascii="仿宋" w:hAnsi="仿宋" w:eastAsia="仿宋" w:cs="仿宋"/>
                <w:color w:val="auto"/>
              </w:rPr>
            </w:pPr>
            <w:r>
              <w:rPr>
                <w:rFonts w:hint="eastAsia" w:ascii="仿宋" w:hAnsi="仿宋" w:eastAsia="仿宋" w:cs="仿宋"/>
                <w:color w:val="auto"/>
                <w:sz w:val="24"/>
                <w:szCs w:val="24"/>
                <w:vertAlign w:val="baseline"/>
                <w:lang w:val="en-US" w:eastAsia="zh-CN"/>
              </w:rPr>
              <w:t>医学领域大语言模型</w:t>
            </w:r>
          </w:p>
        </w:tc>
        <w:tc>
          <w:tcPr>
            <w:tcW w:w="1380" w:type="dxa"/>
            <w:tcMar>
              <w:top w:w="0" w:type="dxa"/>
              <w:left w:w="105" w:type="dxa"/>
              <w:bottom w:w="0" w:type="dxa"/>
              <w:right w:w="105" w:type="dxa"/>
            </w:tcMar>
            <w:vAlign w:val="top"/>
          </w:tcPr>
          <w:p w14:paraId="1E6FE7F7">
            <w:pPr>
              <w:pStyle w:val="21"/>
              <w:spacing w:line="360" w:lineRule="auto"/>
              <w:jc w:val="both"/>
              <w:rPr>
                <w:rFonts w:hint="eastAsia" w:ascii="仿宋" w:hAnsi="仿宋" w:eastAsia="仿宋" w:cs="仿宋"/>
                <w:color w:val="auto"/>
              </w:rPr>
            </w:pPr>
            <w:r>
              <w:rPr>
                <w:rFonts w:hint="eastAsia" w:ascii="仿宋" w:hAnsi="仿宋" w:eastAsia="仿宋" w:cs="仿宋"/>
                <w:color w:val="auto"/>
                <w:sz w:val="24"/>
              </w:rPr>
              <w:t>总体要求</w:t>
            </w:r>
          </w:p>
          <w:p w14:paraId="36B9D886">
            <w:pPr>
              <w:pStyle w:val="21"/>
              <w:spacing w:line="360" w:lineRule="auto"/>
              <w:jc w:val="both"/>
              <w:rPr>
                <w:rFonts w:hint="eastAsia" w:ascii="仿宋" w:hAnsi="仿宋" w:eastAsia="仿宋" w:cs="仿宋"/>
                <w:b/>
                <w:color w:val="auto"/>
                <w:sz w:val="24"/>
              </w:rPr>
            </w:pPr>
          </w:p>
        </w:tc>
        <w:tc>
          <w:tcPr>
            <w:tcW w:w="5059" w:type="dxa"/>
            <w:tcMar>
              <w:top w:w="0" w:type="dxa"/>
              <w:left w:w="105" w:type="dxa"/>
              <w:bottom w:w="0" w:type="dxa"/>
              <w:right w:w="105" w:type="dxa"/>
            </w:tcMar>
            <w:vAlign w:val="top"/>
          </w:tcPr>
          <w:p w14:paraId="7DD5774E">
            <w:pPr>
              <w:pStyle w:val="21"/>
              <w:spacing w:line="360" w:lineRule="auto"/>
              <w:jc w:val="both"/>
              <w:rPr>
                <w:rFonts w:hint="eastAsia" w:ascii="仿宋" w:hAnsi="仿宋" w:eastAsia="仿宋" w:cs="仿宋"/>
                <w:color w:val="auto"/>
              </w:rPr>
            </w:pPr>
            <w:r>
              <w:rPr>
                <w:rFonts w:hint="eastAsia" w:ascii="仿宋" w:hAnsi="仿宋" w:eastAsia="仿宋" w:cs="仿宋"/>
                <w:color w:val="auto"/>
                <w:sz w:val="24"/>
              </w:rPr>
              <w:t>面向医学领域大语言模型的训练和微调关键技术，拟针对通用大语言模型在医学领域数据幻觉严重的问题，构建高质量的领域数据集并基于这些数据集对基础大语言模型进行训练与微调，以获得具有专业医学知识的大语言模型。</w:t>
            </w:r>
          </w:p>
        </w:tc>
      </w:tr>
      <w:tr w14:paraId="68BA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Mar>
              <w:top w:w="0" w:type="dxa"/>
              <w:left w:w="105" w:type="dxa"/>
              <w:bottom w:w="0" w:type="dxa"/>
              <w:right w:w="105" w:type="dxa"/>
            </w:tcMar>
            <w:vAlign w:val="top"/>
          </w:tcPr>
          <w:p w14:paraId="1E859AC8">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1335" w:type="dxa"/>
            <w:tcMar>
              <w:top w:w="0" w:type="dxa"/>
              <w:left w:w="105" w:type="dxa"/>
              <w:bottom w:w="0" w:type="dxa"/>
              <w:right w:w="105" w:type="dxa"/>
            </w:tcMar>
            <w:vAlign w:val="top"/>
          </w:tcPr>
          <w:p w14:paraId="69086D46">
            <w:pPr>
              <w:pStyle w:val="21"/>
              <w:spacing w:line="360" w:lineRule="auto"/>
              <w:jc w:val="both"/>
              <w:rPr>
                <w:rFonts w:hint="eastAsia" w:ascii="仿宋" w:hAnsi="仿宋" w:eastAsia="仿宋" w:cs="仿宋"/>
                <w:b/>
                <w:color w:val="auto"/>
                <w:sz w:val="24"/>
              </w:rPr>
            </w:pPr>
          </w:p>
        </w:tc>
        <w:tc>
          <w:tcPr>
            <w:tcW w:w="1380" w:type="dxa"/>
            <w:tcMar>
              <w:top w:w="0" w:type="dxa"/>
              <w:left w:w="105" w:type="dxa"/>
              <w:bottom w:w="0" w:type="dxa"/>
              <w:right w:w="105" w:type="dxa"/>
            </w:tcMar>
            <w:vAlign w:val="top"/>
          </w:tcPr>
          <w:p w14:paraId="7495CBEB">
            <w:pPr>
              <w:pStyle w:val="21"/>
              <w:spacing w:line="360" w:lineRule="auto"/>
              <w:jc w:val="both"/>
              <w:rPr>
                <w:rFonts w:hint="eastAsia" w:ascii="仿宋" w:hAnsi="仿宋" w:eastAsia="仿宋" w:cs="仿宋"/>
                <w:b/>
                <w:color w:val="auto"/>
                <w:sz w:val="24"/>
              </w:rPr>
            </w:pPr>
          </w:p>
        </w:tc>
        <w:tc>
          <w:tcPr>
            <w:tcW w:w="5059" w:type="dxa"/>
            <w:tcMar>
              <w:top w:w="0" w:type="dxa"/>
              <w:left w:w="105" w:type="dxa"/>
              <w:bottom w:w="0" w:type="dxa"/>
              <w:right w:w="105" w:type="dxa"/>
            </w:tcMar>
            <w:vAlign w:val="top"/>
          </w:tcPr>
          <w:p w14:paraId="0658842A">
            <w:pPr>
              <w:pStyle w:val="21"/>
              <w:spacing w:line="360" w:lineRule="auto"/>
              <w:jc w:val="both"/>
              <w:rPr>
                <w:rFonts w:hint="eastAsia" w:ascii="仿宋" w:hAnsi="仿宋" w:eastAsia="仿宋" w:cs="仿宋"/>
                <w:color w:val="auto"/>
                <w:sz w:val="24"/>
                <w:lang w:eastAsia="zh-CN"/>
              </w:rPr>
            </w:pPr>
            <w:r>
              <w:rPr>
                <w:rFonts w:hint="eastAsia" w:ascii="仿宋" w:hAnsi="仿宋" w:eastAsia="仿宋" w:cs="仿宋"/>
                <w:color w:val="auto"/>
                <w:sz w:val="24"/>
              </w:rPr>
              <w:t>基于医学知识库和临床数据训练好的医学大语言模型，可赋能辅助诊疗、病历质控、患者筛查、病历生成等应用场景</w:t>
            </w:r>
            <w:r>
              <w:rPr>
                <w:rFonts w:hint="eastAsia" w:ascii="仿宋" w:hAnsi="仿宋" w:eastAsia="仿宋" w:cs="仿宋"/>
                <w:color w:val="auto"/>
                <w:sz w:val="24"/>
                <w:lang w:eastAsia="zh-CN"/>
              </w:rPr>
              <w:t>。</w:t>
            </w:r>
          </w:p>
        </w:tc>
      </w:tr>
      <w:tr w14:paraId="6D1B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Mar>
              <w:top w:w="0" w:type="dxa"/>
              <w:left w:w="105" w:type="dxa"/>
              <w:bottom w:w="0" w:type="dxa"/>
              <w:right w:w="105" w:type="dxa"/>
            </w:tcMar>
            <w:vAlign w:val="top"/>
          </w:tcPr>
          <w:p w14:paraId="34CA6406">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1335" w:type="dxa"/>
            <w:tcMar>
              <w:top w:w="0" w:type="dxa"/>
              <w:left w:w="105" w:type="dxa"/>
              <w:bottom w:w="0" w:type="dxa"/>
              <w:right w:w="105" w:type="dxa"/>
            </w:tcMar>
            <w:vAlign w:val="top"/>
          </w:tcPr>
          <w:p w14:paraId="48C66A57">
            <w:pPr>
              <w:pStyle w:val="21"/>
              <w:spacing w:line="360" w:lineRule="auto"/>
              <w:jc w:val="both"/>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大模型训练</w:t>
            </w:r>
          </w:p>
        </w:tc>
        <w:tc>
          <w:tcPr>
            <w:tcW w:w="1380" w:type="dxa"/>
            <w:tcMar>
              <w:top w:w="0" w:type="dxa"/>
              <w:left w:w="105" w:type="dxa"/>
              <w:bottom w:w="0" w:type="dxa"/>
              <w:right w:w="105" w:type="dxa"/>
            </w:tcMar>
            <w:vAlign w:val="top"/>
          </w:tcPr>
          <w:p w14:paraId="7327EFFC">
            <w:pPr>
              <w:pStyle w:val="21"/>
              <w:spacing w:line="360" w:lineRule="auto"/>
              <w:jc w:val="both"/>
              <w:rPr>
                <w:rFonts w:hint="eastAsia" w:ascii="仿宋" w:hAnsi="仿宋" w:eastAsia="仿宋" w:cs="仿宋"/>
                <w:b/>
                <w:color w:val="auto"/>
                <w:sz w:val="24"/>
                <w:lang w:val="en-US" w:eastAsia="zh-CN"/>
              </w:rPr>
            </w:pPr>
            <w:r>
              <w:rPr>
                <w:rFonts w:hint="eastAsia" w:ascii="仿宋" w:hAnsi="仿宋" w:eastAsia="仿宋" w:cs="仿宋"/>
                <w:color w:val="auto"/>
                <w:sz w:val="24"/>
              </w:rPr>
              <w:t>增量预训练</w:t>
            </w:r>
          </w:p>
        </w:tc>
        <w:tc>
          <w:tcPr>
            <w:tcW w:w="5059" w:type="dxa"/>
            <w:tcMar>
              <w:top w:w="0" w:type="dxa"/>
              <w:left w:w="105" w:type="dxa"/>
              <w:bottom w:w="0" w:type="dxa"/>
              <w:right w:w="105" w:type="dxa"/>
            </w:tcMar>
            <w:vAlign w:val="top"/>
          </w:tcPr>
          <w:p w14:paraId="15E8E952">
            <w:pPr>
              <w:pStyle w:val="21"/>
              <w:spacing w:line="360" w:lineRule="auto"/>
              <w:jc w:val="both"/>
              <w:rPr>
                <w:rFonts w:hint="eastAsia" w:ascii="仿宋" w:hAnsi="仿宋" w:eastAsia="仿宋" w:cs="仿宋"/>
                <w:color w:val="auto"/>
                <w:sz w:val="24"/>
              </w:rPr>
            </w:pPr>
            <w:r>
              <w:rPr>
                <w:rFonts w:hint="eastAsia" w:ascii="仿宋" w:hAnsi="仿宋" w:eastAsia="仿宋" w:cs="仿宋"/>
                <w:color w:val="auto"/>
                <w:sz w:val="24"/>
                <w:lang w:val="en-US" w:eastAsia="zh-CN"/>
              </w:rPr>
              <w:t>通过院内数据及</w:t>
            </w:r>
            <w:r>
              <w:rPr>
                <w:rFonts w:hint="eastAsia" w:ascii="仿宋" w:hAnsi="仿宋" w:eastAsia="仿宋" w:cs="仿宋"/>
                <w:color w:val="auto"/>
                <w:sz w:val="24"/>
              </w:rPr>
              <w:t>医学知识库的高质量数据进行增量预训练，确保数据真实可靠。</w:t>
            </w:r>
            <w:r>
              <w:rPr>
                <w:rFonts w:hint="eastAsia" w:ascii="仿宋" w:hAnsi="仿宋" w:eastAsia="仿宋" w:cs="仿宋"/>
                <w:color w:val="auto"/>
                <w:sz w:val="24"/>
                <w:lang w:val="en-US" w:eastAsia="zh-CN"/>
              </w:rPr>
              <w:t>知识库包含</w:t>
            </w:r>
            <w:r>
              <w:rPr>
                <w:rFonts w:hint="eastAsia" w:ascii="仿宋" w:hAnsi="仿宋" w:eastAsia="仿宋" w:cs="仿宋"/>
                <w:color w:val="auto"/>
                <w:sz w:val="24"/>
              </w:rPr>
              <w:t>医学教科书、最新指南共识及病历文书，提供深度和广度，保证专业性和权威性。结合临床数据，对多源数据进行处理和标准化，包括过滤、隐私处理和去重。使用筛选优化的数据对DeepSeek、Qwen等大模型进行增量预训练，提升模型在医疗任务中的精准度和效率。</w:t>
            </w:r>
          </w:p>
        </w:tc>
      </w:tr>
      <w:tr w14:paraId="2164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Mar>
              <w:top w:w="0" w:type="dxa"/>
              <w:left w:w="105" w:type="dxa"/>
              <w:bottom w:w="0" w:type="dxa"/>
              <w:right w:w="105" w:type="dxa"/>
            </w:tcMar>
            <w:vAlign w:val="top"/>
          </w:tcPr>
          <w:p w14:paraId="4A79B81D">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1335" w:type="dxa"/>
            <w:tcMar>
              <w:top w:w="0" w:type="dxa"/>
              <w:left w:w="105" w:type="dxa"/>
              <w:bottom w:w="0" w:type="dxa"/>
              <w:right w:w="105" w:type="dxa"/>
            </w:tcMar>
            <w:vAlign w:val="top"/>
          </w:tcPr>
          <w:p w14:paraId="61AC5E2D">
            <w:pPr>
              <w:pStyle w:val="21"/>
              <w:spacing w:line="360" w:lineRule="auto"/>
              <w:jc w:val="both"/>
              <w:rPr>
                <w:rFonts w:hint="eastAsia" w:ascii="仿宋" w:hAnsi="仿宋" w:eastAsia="仿宋" w:cs="仿宋"/>
                <w:b/>
                <w:color w:val="auto"/>
                <w:sz w:val="24"/>
              </w:rPr>
            </w:pPr>
          </w:p>
        </w:tc>
        <w:tc>
          <w:tcPr>
            <w:tcW w:w="1380" w:type="dxa"/>
            <w:tcMar>
              <w:top w:w="0" w:type="dxa"/>
              <w:left w:w="105" w:type="dxa"/>
              <w:bottom w:w="0" w:type="dxa"/>
              <w:right w:w="105" w:type="dxa"/>
            </w:tcMar>
            <w:vAlign w:val="top"/>
          </w:tcPr>
          <w:p w14:paraId="6B305F15">
            <w:pPr>
              <w:pStyle w:val="21"/>
              <w:spacing w:line="360" w:lineRule="auto"/>
              <w:jc w:val="both"/>
              <w:rPr>
                <w:rFonts w:hint="eastAsia" w:ascii="仿宋" w:hAnsi="仿宋" w:eastAsia="仿宋" w:cs="仿宋"/>
                <w:b/>
                <w:color w:val="auto"/>
                <w:sz w:val="24"/>
              </w:rPr>
            </w:pPr>
            <w:r>
              <w:rPr>
                <w:rFonts w:hint="eastAsia" w:ascii="仿宋" w:hAnsi="仿宋" w:eastAsia="仿宋" w:cs="仿宋"/>
                <w:color w:val="auto"/>
                <w:sz w:val="24"/>
              </w:rPr>
              <w:t>监督微调</w:t>
            </w:r>
          </w:p>
        </w:tc>
        <w:tc>
          <w:tcPr>
            <w:tcW w:w="5059" w:type="dxa"/>
            <w:tcMar>
              <w:top w:w="0" w:type="dxa"/>
              <w:left w:w="105" w:type="dxa"/>
              <w:bottom w:w="0" w:type="dxa"/>
              <w:right w:w="105" w:type="dxa"/>
            </w:tcMar>
            <w:vAlign w:val="top"/>
          </w:tcPr>
          <w:p w14:paraId="2ABCE602">
            <w:pPr>
              <w:pStyle w:val="21"/>
              <w:tabs>
                <w:tab w:val="left" w:pos="609"/>
              </w:tabs>
              <w:spacing w:line="360" w:lineRule="auto"/>
              <w:jc w:val="both"/>
              <w:rPr>
                <w:rFonts w:hint="eastAsia" w:ascii="仿宋" w:hAnsi="仿宋" w:eastAsia="仿宋" w:cs="仿宋"/>
                <w:color w:val="auto"/>
                <w:sz w:val="24"/>
                <w:lang w:eastAsia="zh-CN"/>
              </w:rPr>
            </w:pPr>
            <w:r>
              <w:rPr>
                <w:rFonts w:hint="eastAsia" w:ascii="仿宋" w:hAnsi="仿宋" w:eastAsia="仿宋" w:cs="仿宋"/>
                <w:color w:val="auto"/>
                <w:sz w:val="24"/>
                <w:lang w:eastAsia="zh-CN"/>
              </w:rPr>
              <w:t>基于医学专家编写的指令模板进行筛选和数据清洗，可获得高质量的有监督微调数据；借助这部分数据在预训练模型的基础上进行指令精细调整。</w:t>
            </w:r>
          </w:p>
        </w:tc>
      </w:tr>
      <w:tr w14:paraId="73DD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tcMar>
              <w:top w:w="0" w:type="dxa"/>
              <w:left w:w="105" w:type="dxa"/>
              <w:bottom w:w="0" w:type="dxa"/>
              <w:right w:w="105" w:type="dxa"/>
            </w:tcMar>
            <w:vAlign w:val="top"/>
          </w:tcPr>
          <w:p w14:paraId="6328B119">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1335" w:type="dxa"/>
            <w:tcMar>
              <w:top w:w="0" w:type="dxa"/>
              <w:left w:w="105" w:type="dxa"/>
              <w:bottom w:w="0" w:type="dxa"/>
              <w:right w:w="105" w:type="dxa"/>
            </w:tcMar>
            <w:vAlign w:val="top"/>
          </w:tcPr>
          <w:p w14:paraId="1162B005">
            <w:pPr>
              <w:pStyle w:val="21"/>
              <w:spacing w:line="360" w:lineRule="auto"/>
              <w:jc w:val="both"/>
              <w:rPr>
                <w:rFonts w:hint="eastAsia" w:ascii="仿宋" w:hAnsi="仿宋" w:eastAsia="仿宋" w:cs="仿宋"/>
                <w:b/>
                <w:color w:val="auto"/>
                <w:sz w:val="24"/>
              </w:rPr>
            </w:pPr>
          </w:p>
        </w:tc>
        <w:tc>
          <w:tcPr>
            <w:tcW w:w="1380" w:type="dxa"/>
            <w:tcMar>
              <w:top w:w="0" w:type="dxa"/>
              <w:left w:w="105" w:type="dxa"/>
              <w:bottom w:w="0" w:type="dxa"/>
              <w:right w:w="105" w:type="dxa"/>
            </w:tcMar>
            <w:vAlign w:val="top"/>
          </w:tcPr>
          <w:p w14:paraId="22F8175B">
            <w:pPr>
              <w:pStyle w:val="21"/>
              <w:spacing w:line="360" w:lineRule="auto"/>
              <w:jc w:val="both"/>
              <w:rPr>
                <w:rFonts w:hint="eastAsia" w:ascii="仿宋" w:hAnsi="仿宋" w:eastAsia="仿宋" w:cs="仿宋"/>
                <w:b/>
                <w:color w:val="auto"/>
                <w:sz w:val="24"/>
              </w:rPr>
            </w:pPr>
            <w:r>
              <w:rPr>
                <w:rFonts w:hint="eastAsia" w:ascii="仿宋" w:hAnsi="仿宋" w:eastAsia="仿宋" w:cs="仿宋"/>
                <w:color w:val="auto"/>
                <w:sz w:val="24"/>
                <w:lang w:val="en-US" w:eastAsia="zh-CN"/>
              </w:rPr>
              <w:t>强化学习</w:t>
            </w:r>
          </w:p>
        </w:tc>
        <w:tc>
          <w:tcPr>
            <w:tcW w:w="5059" w:type="dxa"/>
            <w:tcMar>
              <w:top w:w="0" w:type="dxa"/>
              <w:left w:w="105" w:type="dxa"/>
              <w:bottom w:w="0" w:type="dxa"/>
              <w:right w:w="105" w:type="dxa"/>
            </w:tcMar>
            <w:vAlign w:val="top"/>
          </w:tcPr>
          <w:p w14:paraId="275C59FB">
            <w:pPr>
              <w:pStyle w:val="21"/>
              <w:spacing w:line="360" w:lineRule="auto"/>
              <w:jc w:val="both"/>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该数据进行排序构建基于人类反馈的强化学习训练数据。用奖励模型来训练SFT模型，生成模型使用奖励或惩罚来更新其策略，以便生成符合医疗场景标准的高质量文本，从而提供更专业的医学信息和建议。</w:t>
            </w:r>
          </w:p>
        </w:tc>
      </w:tr>
      <w:tr w14:paraId="389E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Mar>
              <w:top w:w="0" w:type="dxa"/>
              <w:left w:w="105" w:type="dxa"/>
              <w:bottom w:w="0" w:type="dxa"/>
              <w:right w:w="105" w:type="dxa"/>
            </w:tcMar>
            <w:vAlign w:val="top"/>
          </w:tcPr>
          <w:p w14:paraId="09D481F6">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1335" w:type="dxa"/>
            <w:tcMar>
              <w:top w:w="0" w:type="dxa"/>
              <w:left w:w="105" w:type="dxa"/>
              <w:bottom w:w="0" w:type="dxa"/>
              <w:right w:w="105" w:type="dxa"/>
            </w:tcMar>
            <w:vAlign w:val="top"/>
          </w:tcPr>
          <w:p w14:paraId="77734869">
            <w:pPr>
              <w:pStyle w:val="21"/>
              <w:spacing w:line="360" w:lineRule="auto"/>
              <w:jc w:val="both"/>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医学知识库</w:t>
            </w:r>
          </w:p>
        </w:tc>
        <w:tc>
          <w:tcPr>
            <w:tcW w:w="1380" w:type="dxa"/>
            <w:tcMar>
              <w:top w:w="0" w:type="dxa"/>
              <w:left w:w="105" w:type="dxa"/>
              <w:bottom w:w="0" w:type="dxa"/>
              <w:right w:w="105" w:type="dxa"/>
            </w:tcMar>
            <w:vAlign w:val="top"/>
          </w:tcPr>
          <w:p w14:paraId="51886881">
            <w:pPr>
              <w:pStyle w:val="21"/>
              <w:spacing w:line="360" w:lineRule="auto"/>
              <w:jc w:val="both"/>
              <w:rPr>
                <w:rFonts w:hint="eastAsia" w:ascii="仿宋" w:hAnsi="仿宋" w:eastAsia="仿宋" w:cs="仿宋"/>
                <w:b/>
                <w:color w:val="auto"/>
                <w:sz w:val="24"/>
              </w:rPr>
            </w:pPr>
          </w:p>
        </w:tc>
        <w:tc>
          <w:tcPr>
            <w:tcW w:w="5059" w:type="dxa"/>
            <w:tcMar>
              <w:top w:w="0" w:type="dxa"/>
              <w:left w:w="105" w:type="dxa"/>
              <w:bottom w:w="0" w:type="dxa"/>
              <w:right w:w="105" w:type="dxa"/>
            </w:tcMar>
            <w:vAlign w:val="top"/>
          </w:tcPr>
          <w:p w14:paraId="04ABF0C6">
            <w:pPr>
              <w:pStyle w:val="21"/>
              <w:spacing w:line="360" w:lineRule="auto"/>
              <w:jc w:val="both"/>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涵盖疾病、症状、药品、中成药、药物、成品药、成品药说明书、检查、检验项目、检验指标、手术、中药材、诊断、用血、护理诊断、护理操作等领域，覆盖知识问答、辅助诊疗、病历质控、病历生成、患者筛查等场景，构建不少于600万条的高质量训练数据</w:t>
            </w:r>
          </w:p>
        </w:tc>
      </w:tr>
    </w:tbl>
    <w:p w14:paraId="2765AFA3">
      <w:pPr>
        <w:pStyle w:val="21"/>
        <w:spacing w:line="360" w:lineRule="auto"/>
        <w:ind w:firstLine="562" w:firstLineChars="200"/>
        <w:jc w:val="both"/>
        <w:outlineLvl w:val="1"/>
        <w:rPr>
          <w:rFonts w:hint="eastAsia" w:ascii="仿宋" w:hAnsi="仿宋" w:eastAsia="仿宋" w:cs="仿宋"/>
          <w:color w:val="auto"/>
        </w:rPr>
      </w:pPr>
      <w:r>
        <w:rPr>
          <w:rFonts w:hint="eastAsia" w:ascii="仿宋" w:hAnsi="仿宋" w:eastAsia="仿宋" w:cs="仿宋"/>
          <w:b/>
          <w:color w:val="auto"/>
          <w:sz w:val="28"/>
          <w:lang w:val="en-US" w:eastAsia="zh-CN"/>
        </w:rPr>
        <w:t>医信融合创新场景科研应用</w:t>
      </w:r>
      <w:r>
        <w:rPr>
          <w:rFonts w:hint="eastAsia" w:ascii="仿宋" w:hAnsi="仿宋" w:eastAsia="仿宋" w:cs="仿宋"/>
          <w:b/>
          <w:color w:val="auto"/>
          <w:sz w:val="28"/>
        </w:rPr>
        <w:t>技术参数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549"/>
        <w:gridCol w:w="1542"/>
        <w:gridCol w:w="4956"/>
      </w:tblGrid>
      <w:tr w14:paraId="73E7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0C68239F">
            <w:pPr>
              <w:pStyle w:val="21"/>
              <w:spacing w:line="360" w:lineRule="auto"/>
              <w:jc w:val="center"/>
              <w:rPr>
                <w:rFonts w:hint="eastAsia" w:ascii="仿宋" w:hAnsi="仿宋" w:eastAsia="仿宋" w:cs="仿宋"/>
                <w:color w:val="auto"/>
              </w:rPr>
            </w:pPr>
            <w:r>
              <w:rPr>
                <w:rFonts w:hint="eastAsia" w:ascii="仿宋" w:hAnsi="仿宋" w:eastAsia="仿宋" w:cs="仿宋"/>
                <w:b/>
                <w:color w:val="auto"/>
                <w:sz w:val="24"/>
              </w:rPr>
              <w:t>序号</w:t>
            </w:r>
          </w:p>
        </w:tc>
        <w:tc>
          <w:tcPr>
            <w:tcW w:w="1549" w:type="dxa"/>
            <w:tcMar>
              <w:top w:w="0" w:type="dxa"/>
              <w:left w:w="105" w:type="dxa"/>
              <w:bottom w:w="0" w:type="dxa"/>
              <w:right w:w="105" w:type="dxa"/>
            </w:tcMar>
            <w:vAlign w:val="top"/>
          </w:tcPr>
          <w:p w14:paraId="7951995D">
            <w:pPr>
              <w:pStyle w:val="21"/>
              <w:spacing w:line="360" w:lineRule="auto"/>
              <w:jc w:val="center"/>
              <w:rPr>
                <w:rFonts w:hint="eastAsia" w:ascii="仿宋" w:hAnsi="仿宋" w:eastAsia="仿宋" w:cs="仿宋"/>
                <w:color w:val="auto"/>
                <w:lang w:val="en-US" w:eastAsia="zh-CN"/>
              </w:rPr>
            </w:pPr>
            <w:r>
              <w:rPr>
                <w:rFonts w:hint="eastAsia" w:ascii="仿宋" w:hAnsi="仿宋" w:eastAsia="仿宋" w:cs="仿宋"/>
                <w:b/>
                <w:color w:val="auto"/>
                <w:sz w:val="24"/>
                <w:lang w:val="en-US" w:eastAsia="zh-CN"/>
              </w:rPr>
              <w:t>系统名称</w:t>
            </w:r>
          </w:p>
        </w:tc>
        <w:tc>
          <w:tcPr>
            <w:tcW w:w="1542" w:type="dxa"/>
            <w:tcMar>
              <w:top w:w="0" w:type="dxa"/>
              <w:left w:w="105" w:type="dxa"/>
              <w:bottom w:w="0" w:type="dxa"/>
              <w:right w:w="105" w:type="dxa"/>
            </w:tcMar>
            <w:vAlign w:val="top"/>
          </w:tcPr>
          <w:p w14:paraId="3A2C168D">
            <w:pPr>
              <w:pStyle w:val="21"/>
              <w:spacing w:line="36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功能模块</w:t>
            </w:r>
          </w:p>
        </w:tc>
        <w:tc>
          <w:tcPr>
            <w:tcW w:w="4956" w:type="dxa"/>
            <w:tcMar>
              <w:top w:w="0" w:type="dxa"/>
              <w:left w:w="105" w:type="dxa"/>
              <w:bottom w:w="0" w:type="dxa"/>
              <w:right w:w="105" w:type="dxa"/>
            </w:tcMar>
            <w:vAlign w:val="top"/>
          </w:tcPr>
          <w:p w14:paraId="5BA50559">
            <w:pPr>
              <w:pStyle w:val="21"/>
              <w:spacing w:line="360" w:lineRule="auto"/>
              <w:jc w:val="center"/>
              <w:rPr>
                <w:rFonts w:hint="eastAsia" w:ascii="仿宋" w:hAnsi="仿宋" w:eastAsia="仿宋" w:cs="仿宋"/>
                <w:color w:val="auto"/>
              </w:rPr>
            </w:pPr>
            <w:r>
              <w:rPr>
                <w:rFonts w:hint="eastAsia" w:ascii="仿宋" w:hAnsi="仿宋" w:eastAsia="仿宋" w:cs="仿宋"/>
                <w:b/>
                <w:color w:val="auto"/>
                <w:sz w:val="24"/>
                <w:lang w:val="en-US" w:eastAsia="zh-CN"/>
              </w:rPr>
              <w:t>参数</w:t>
            </w:r>
            <w:r>
              <w:rPr>
                <w:rFonts w:hint="eastAsia" w:ascii="仿宋" w:hAnsi="仿宋" w:eastAsia="仿宋" w:cs="仿宋"/>
                <w:b/>
                <w:color w:val="auto"/>
                <w:sz w:val="24"/>
              </w:rPr>
              <w:t>描述</w:t>
            </w:r>
          </w:p>
        </w:tc>
      </w:tr>
      <w:tr w14:paraId="1AAE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61AAD832">
            <w:pPr>
              <w:pStyle w:val="21"/>
              <w:spacing w:line="360" w:lineRule="auto"/>
              <w:jc w:val="center"/>
              <w:rPr>
                <w:rFonts w:hint="eastAsia" w:ascii="仿宋" w:hAnsi="仿宋" w:eastAsia="仿宋" w:cs="仿宋"/>
                <w:color w:val="auto"/>
              </w:rPr>
            </w:pPr>
            <w:r>
              <w:rPr>
                <w:rFonts w:hint="eastAsia" w:ascii="仿宋" w:hAnsi="仿宋" w:eastAsia="仿宋" w:cs="仿宋"/>
                <w:color w:val="auto"/>
                <w:sz w:val="24"/>
              </w:rPr>
              <w:t>1</w:t>
            </w:r>
          </w:p>
        </w:tc>
        <w:tc>
          <w:tcPr>
            <w:tcW w:w="1549" w:type="dxa"/>
            <w:vMerge w:val="restart"/>
            <w:tcMar>
              <w:top w:w="0" w:type="dxa"/>
              <w:left w:w="105" w:type="dxa"/>
              <w:bottom w:w="0" w:type="dxa"/>
              <w:right w:w="105" w:type="dxa"/>
            </w:tcMar>
            <w:vAlign w:val="top"/>
          </w:tcPr>
          <w:p w14:paraId="23A513DC">
            <w:pPr>
              <w:pStyle w:val="21"/>
              <w:spacing w:line="360" w:lineRule="auto"/>
              <w:jc w:val="both"/>
              <w:rPr>
                <w:rFonts w:hint="default" w:ascii="仿宋" w:hAnsi="仿宋" w:eastAsia="仿宋" w:cs="仿宋"/>
                <w:color w:val="auto"/>
                <w:lang w:val="en-US"/>
              </w:rPr>
            </w:pPr>
            <w:r>
              <w:rPr>
                <w:rFonts w:hint="eastAsia" w:ascii="仿宋" w:hAnsi="仿宋" w:eastAsia="仿宋" w:cs="仿宋"/>
                <w:color w:val="auto"/>
                <w:sz w:val="24"/>
                <w:szCs w:val="24"/>
                <w:vertAlign w:val="baseline"/>
                <w:lang w:val="en-US" w:eastAsia="zh-CN"/>
              </w:rPr>
              <w:t>基于大模型的医学Copilo（医生助手)</w:t>
            </w:r>
          </w:p>
        </w:tc>
        <w:tc>
          <w:tcPr>
            <w:tcW w:w="1542" w:type="dxa"/>
            <w:vMerge w:val="restart"/>
            <w:tcMar>
              <w:top w:w="0" w:type="dxa"/>
              <w:left w:w="105" w:type="dxa"/>
              <w:bottom w:w="0" w:type="dxa"/>
              <w:right w:w="105" w:type="dxa"/>
            </w:tcMar>
            <w:vAlign w:val="top"/>
          </w:tcPr>
          <w:p w14:paraId="57AA38CA">
            <w:pPr>
              <w:pStyle w:val="21"/>
              <w:spacing w:line="360" w:lineRule="auto"/>
              <w:jc w:val="both"/>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开放式对话</w:t>
            </w:r>
          </w:p>
        </w:tc>
        <w:tc>
          <w:tcPr>
            <w:tcW w:w="4956" w:type="dxa"/>
            <w:tcMar>
              <w:top w:w="0" w:type="dxa"/>
              <w:left w:w="105" w:type="dxa"/>
              <w:bottom w:w="0" w:type="dxa"/>
              <w:right w:w="105" w:type="dxa"/>
            </w:tcMar>
            <w:vAlign w:val="top"/>
          </w:tcPr>
          <w:p w14:paraId="625B3570">
            <w:pPr>
              <w:keepNext w:val="0"/>
              <w:keepLines w:val="0"/>
              <w:widowControl/>
              <w:suppressLineNumbers w:val="0"/>
              <w:spacing w:line="360" w:lineRule="auto"/>
              <w:jc w:val="left"/>
              <w:rPr>
                <w:rFonts w:hint="eastAsia" w:ascii="仿宋" w:hAnsi="仿宋" w:eastAsia="仿宋" w:cs="仿宋"/>
                <w:color w:val="auto"/>
              </w:rPr>
            </w:pPr>
            <w:r>
              <w:rPr>
                <w:rFonts w:hint="eastAsia" w:ascii="仿宋" w:hAnsi="仿宋" w:eastAsia="仿宋" w:cs="仿宋"/>
                <w:color w:val="auto"/>
                <w:kern w:val="0"/>
                <w:sz w:val="21"/>
                <w:szCs w:val="21"/>
                <w:lang w:val="en-US" w:eastAsia="zh-CN" w:bidi="ar"/>
              </w:rPr>
              <w:t>知识挂载：支持医生助手在开放式对话中可以根据挂载的医学知识库给出专业的医学知识回复。</w:t>
            </w:r>
          </w:p>
        </w:tc>
      </w:tr>
      <w:tr w14:paraId="42D7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61F3781D">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1549" w:type="dxa"/>
            <w:vMerge w:val="continue"/>
            <w:tcMar>
              <w:top w:w="0" w:type="dxa"/>
              <w:left w:w="105" w:type="dxa"/>
              <w:bottom w:w="0" w:type="dxa"/>
              <w:right w:w="105" w:type="dxa"/>
            </w:tcMar>
            <w:vAlign w:val="top"/>
          </w:tcPr>
          <w:p w14:paraId="1B5D4F41">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22C4AE7D">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2903B7FB">
            <w:pPr>
              <w:keepNext w:val="0"/>
              <w:keepLines w:val="0"/>
              <w:widowControl/>
              <w:suppressLineNumbers w:val="0"/>
              <w:spacing w:line="360" w:lineRule="auto"/>
              <w:jc w:val="left"/>
              <w:rPr>
                <w:rFonts w:hint="eastAsia" w:ascii="仿宋" w:hAnsi="仿宋" w:eastAsia="仿宋" w:cs="仿宋"/>
                <w:color w:val="auto"/>
                <w:sz w:val="24"/>
              </w:rPr>
            </w:pPr>
            <w:r>
              <w:rPr>
                <w:rFonts w:hint="eastAsia" w:ascii="仿宋" w:hAnsi="仿宋" w:eastAsia="仿宋" w:cs="仿宋"/>
                <w:color w:val="auto"/>
                <w:kern w:val="0"/>
                <w:sz w:val="21"/>
                <w:szCs w:val="21"/>
                <w:lang w:val="en-US" w:eastAsia="zh-CN" w:bidi="ar"/>
              </w:rPr>
              <w:t>文件解读：支持用户可以向医生助手上传相关的报告、论文、病例等文件，并针对文件内容展开开放式对话，帮助用户进行内容的整理、解读与查询反馈。</w:t>
            </w:r>
          </w:p>
        </w:tc>
      </w:tr>
      <w:tr w14:paraId="5679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7AEE4A7C">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1549" w:type="dxa"/>
            <w:vMerge w:val="continue"/>
            <w:tcMar>
              <w:top w:w="0" w:type="dxa"/>
              <w:left w:w="105" w:type="dxa"/>
              <w:bottom w:w="0" w:type="dxa"/>
              <w:right w:w="105" w:type="dxa"/>
            </w:tcMar>
            <w:vAlign w:val="top"/>
          </w:tcPr>
          <w:p w14:paraId="6568B187">
            <w:pPr>
              <w:pStyle w:val="21"/>
              <w:spacing w:line="360" w:lineRule="auto"/>
              <w:jc w:val="both"/>
              <w:rPr>
                <w:rFonts w:hint="eastAsia" w:ascii="仿宋" w:hAnsi="仿宋" w:eastAsia="仿宋" w:cs="仿宋"/>
                <w:b/>
                <w:color w:val="auto"/>
                <w:sz w:val="24"/>
              </w:rPr>
            </w:pPr>
          </w:p>
        </w:tc>
        <w:tc>
          <w:tcPr>
            <w:tcW w:w="1542" w:type="dxa"/>
            <w:vMerge w:val="restart"/>
            <w:tcMar>
              <w:top w:w="0" w:type="dxa"/>
              <w:left w:w="105" w:type="dxa"/>
              <w:bottom w:w="0" w:type="dxa"/>
              <w:right w:w="105" w:type="dxa"/>
            </w:tcMar>
            <w:vAlign w:val="top"/>
          </w:tcPr>
          <w:p w14:paraId="5A6894C4">
            <w:pPr>
              <w:pStyle w:val="21"/>
              <w:spacing w:line="360" w:lineRule="auto"/>
              <w:jc w:val="both"/>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病历辅读</w:t>
            </w:r>
          </w:p>
        </w:tc>
        <w:tc>
          <w:tcPr>
            <w:tcW w:w="4956" w:type="dxa"/>
            <w:tcMar>
              <w:top w:w="0" w:type="dxa"/>
              <w:left w:w="105" w:type="dxa"/>
              <w:bottom w:w="0" w:type="dxa"/>
              <w:right w:w="105" w:type="dxa"/>
            </w:tcMar>
            <w:vAlign w:val="top"/>
          </w:tcPr>
          <w:p w14:paraId="3B294BEF">
            <w:pPr>
              <w:keepNext w:val="0"/>
              <w:keepLines w:val="0"/>
              <w:widowControl/>
              <w:suppressLineNumbers w:val="0"/>
              <w:spacing w:line="360" w:lineRule="auto"/>
              <w:jc w:val="left"/>
              <w:rPr>
                <w:rFonts w:hint="eastAsia" w:ascii="仿宋" w:hAnsi="仿宋" w:eastAsia="仿宋" w:cs="仿宋"/>
                <w:color w:val="auto"/>
                <w:sz w:val="24"/>
              </w:rPr>
            </w:pPr>
            <w:r>
              <w:rPr>
                <w:rFonts w:hint="eastAsia" w:ascii="仿宋" w:hAnsi="仿宋" w:eastAsia="仿宋" w:cs="仿宋"/>
                <w:color w:val="auto"/>
                <w:kern w:val="0"/>
                <w:sz w:val="21"/>
                <w:szCs w:val="21"/>
                <w:lang w:val="en-US" w:eastAsia="zh-CN" w:bidi="ar"/>
              </w:rPr>
              <w:t>信息查询：医生助手可以支持获取特定患者的数据，并对该患者的重要特征信息进行查询。</w:t>
            </w:r>
          </w:p>
        </w:tc>
      </w:tr>
      <w:tr w14:paraId="5704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05C6C4AF">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1549" w:type="dxa"/>
            <w:vMerge w:val="continue"/>
            <w:tcMar>
              <w:top w:w="0" w:type="dxa"/>
              <w:left w:w="105" w:type="dxa"/>
              <w:bottom w:w="0" w:type="dxa"/>
              <w:right w:w="105" w:type="dxa"/>
            </w:tcMar>
            <w:vAlign w:val="top"/>
          </w:tcPr>
          <w:p w14:paraId="24DF4F04">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653CF315">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3929F56C">
            <w:pPr>
              <w:keepNext w:val="0"/>
              <w:keepLines w:val="0"/>
              <w:widowControl/>
              <w:suppressLineNumbers w:val="0"/>
              <w:spacing w:line="360" w:lineRule="auto"/>
              <w:jc w:val="left"/>
              <w:rPr>
                <w:rFonts w:hint="eastAsia" w:ascii="仿宋" w:hAnsi="仿宋" w:eastAsia="仿宋" w:cs="仿宋"/>
                <w:color w:val="auto"/>
                <w:sz w:val="24"/>
                <w:lang w:val="en-US" w:eastAsia="zh-CN"/>
              </w:rPr>
            </w:pPr>
            <w:r>
              <w:rPr>
                <w:rFonts w:hint="eastAsia" w:ascii="仿宋" w:hAnsi="仿宋" w:eastAsia="仿宋" w:cs="仿宋"/>
                <w:color w:val="auto"/>
                <w:kern w:val="0"/>
                <w:sz w:val="21"/>
                <w:szCs w:val="21"/>
                <w:lang w:val="en-US" w:eastAsia="zh-CN" w:bidi="ar"/>
              </w:rPr>
              <w:t>诊疗辅助：医生助手可以支持获取特定患者的数据，并提供个性化的诊断及治疗建议。</w:t>
            </w:r>
          </w:p>
        </w:tc>
      </w:tr>
      <w:tr w14:paraId="0DFC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7BD73DC9">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1549" w:type="dxa"/>
            <w:vMerge w:val="continue"/>
            <w:tcMar>
              <w:top w:w="0" w:type="dxa"/>
              <w:left w:w="105" w:type="dxa"/>
              <w:bottom w:w="0" w:type="dxa"/>
              <w:right w:w="105" w:type="dxa"/>
            </w:tcMar>
            <w:vAlign w:val="top"/>
          </w:tcPr>
          <w:p w14:paraId="2ED8E3EE">
            <w:pPr>
              <w:pStyle w:val="21"/>
              <w:spacing w:line="360" w:lineRule="auto"/>
              <w:jc w:val="both"/>
              <w:rPr>
                <w:rFonts w:hint="eastAsia" w:ascii="仿宋" w:hAnsi="仿宋" w:eastAsia="仿宋" w:cs="仿宋"/>
                <w:b/>
                <w:color w:val="auto"/>
                <w:sz w:val="24"/>
              </w:rPr>
            </w:pPr>
          </w:p>
        </w:tc>
        <w:tc>
          <w:tcPr>
            <w:tcW w:w="1542" w:type="dxa"/>
            <w:vMerge w:val="restart"/>
            <w:tcMar>
              <w:top w:w="0" w:type="dxa"/>
              <w:left w:w="105" w:type="dxa"/>
              <w:bottom w:w="0" w:type="dxa"/>
              <w:right w:w="105" w:type="dxa"/>
            </w:tcMar>
            <w:vAlign w:val="top"/>
          </w:tcPr>
          <w:p w14:paraId="56CA3369">
            <w:pPr>
              <w:pStyle w:val="21"/>
              <w:spacing w:line="360" w:lineRule="auto"/>
              <w:jc w:val="both"/>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文书生产</w:t>
            </w:r>
          </w:p>
        </w:tc>
        <w:tc>
          <w:tcPr>
            <w:tcW w:w="4956" w:type="dxa"/>
            <w:tcMar>
              <w:top w:w="0" w:type="dxa"/>
              <w:left w:w="105" w:type="dxa"/>
              <w:bottom w:w="0" w:type="dxa"/>
              <w:right w:w="105" w:type="dxa"/>
            </w:tcMar>
            <w:vAlign w:val="top"/>
          </w:tcPr>
          <w:p w14:paraId="0223554F">
            <w:pPr>
              <w:keepNext w:val="0"/>
              <w:keepLines w:val="0"/>
              <w:widowControl/>
              <w:suppressLineNumbers w:val="0"/>
              <w:spacing w:line="360" w:lineRule="auto"/>
              <w:jc w:val="left"/>
              <w:rPr>
                <w:rFonts w:hint="eastAsia" w:ascii="仿宋" w:hAnsi="仿宋" w:eastAsia="仿宋" w:cs="仿宋"/>
                <w:color w:val="auto"/>
                <w:sz w:val="24"/>
                <w:lang w:val="en-US" w:eastAsia="zh-CN"/>
              </w:rPr>
            </w:pPr>
            <w:r>
              <w:rPr>
                <w:rFonts w:hint="eastAsia" w:ascii="仿宋" w:hAnsi="仿宋" w:eastAsia="仿宋" w:cs="仿宋"/>
                <w:color w:val="auto"/>
                <w:kern w:val="0"/>
                <w:sz w:val="21"/>
                <w:szCs w:val="21"/>
                <w:lang w:val="en-US" w:eastAsia="zh-CN" w:bidi="ar"/>
              </w:rPr>
              <w:t>诊疗过程分析：支持用户可通过医生助手查看大模型分析生成的患者每日动态纪要，快速通读患者的诊疗经过与病变过程。</w:t>
            </w:r>
          </w:p>
        </w:tc>
      </w:tr>
      <w:tr w14:paraId="6202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46F3F721">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1549" w:type="dxa"/>
            <w:vMerge w:val="continue"/>
            <w:tcMar>
              <w:top w:w="0" w:type="dxa"/>
              <w:left w:w="105" w:type="dxa"/>
              <w:bottom w:w="0" w:type="dxa"/>
              <w:right w:w="105" w:type="dxa"/>
            </w:tcMar>
            <w:vAlign w:val="top"/>
          </w:tcPr>
          <w:p w14:paraId="4C9152CD">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2DE51B47">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35DF687A">
            <w:pPr>
              <w:keepNext w:val="0"/>
              <w:keepLines w:val="0"/>
              <w:widowControl/>
              <w:suppressLineNumbers w:val="0"/>
              <w:spacing w:line="360" w:lineRule="auto"/>
              <w:jc w:val="left"/>
              <w:rPr>
                <w:rFonts w:hint="eastAsia" w:ascii="仿宋" w:hAnsi="仿宋" w:eastAsia="仿宋" w:cs="仿宋"/>
                <w:color w:val="auto"/>
                <w:sz w:val="24"/>
                <w:lang w:val="en-US" w:eastAsia="zh-CN"/>
              </w:rPr>
            </w:pPr>
            <w:r>
              <w:rPr>
                <w:rFonts w:hint="eastAsia" w:ascii="仿宋" w:hAnsi="仿宋" w:eastAsia="仿宋" w:cs="仿宋"/>
                <w:color w:val="auto"/>
                <w:kern w:val="0"/>
                <w:sz w:val="21"/>
                <w:szCs w:val="21"/>
                <w:lang w:val="en-US" w:eastAsia="zh-CN" w:bidi="ar"/>
              </w:rPr>
              <w:t>病历文书生成：支持医生助手可以帮助医生快速生成如阶段小结、出院小结等整理汇总型的文书，提升临床病理书写效率。</w:t>
            </w:r>
          </w:p>
        </w:tc>
      </w:tr>
      <w:tr w14:paraId="581E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6762AEE4">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1549" w:type="dxa"/>
            <w:vMerge w:val="restart"/>
            <w:tcMar>
              <w:top w:w="0" w:type="dxa"/>
              <w:left w:w="105" w:type="dxa"/>
              <w:bottom w:w="0" w:type="dxa"/>
              <w:right w:w="105" w:type="dxa"/>
            </w:tcMar>
            <w:vAlign w:val="top"/>
          </w:tcPr>
          <w:p w14:paraId="1B8892DC">
            <w:pPr>
              <w:pStyle w:val="21"/>
              <w:spacing w:line="360" w:lineRule="auto"/>
              <w:jc w:val="both"/>
              <w:rPr>
                <w:rFonts w:hint="eastAsia" w:ascii="仿宋" w:hAnsi="仿宋" w:eastAsia="仿宋" w:cs="仿宋"/>
                <w:b/>
                <w:color w:val="auto"/>
                <w:sz w:val="24"/>
              </w:rPr>
            </w:pPr>
            <w:r>
              <w:rPr>
                <w:rFonts w:hint="eastAsia" w:ascii="仿宋" w:hAnsi="仿宋" w:eastAsia="仿宋" w:cs="仿宋"/>
                <w:color w:val="auto"/>
                <w:sz w:val="24"/>
                <w:szCs w:val="24"/>
                <w:vertAlign w:val="baseline"/>
                <w:lang w:val="en-US" w:eastAsia="zh-CN"/>
              </w:rPr>
              <w:t>基于大模型面向病历分析的Al患者精准追踪系统</w:t>
            </w:r>
          </w:p>
        </w:tc>
        <w:tc>
          <w:tcPr>
            <w:tcW w:w="1542" w:type="dxa"/>
            <w:vMerge w:val="restart"/>
            <w:tcMar>
              <w:top w:w="0" w:type="dxa"/>
              <w:left w:w="105" w:type="dxa"/>
              <w:bottom w:w="0" w:type="dxa"/>
              <w:right w:w="105" w:type="dxa"/>
            </w:tcMar>
            <w:vAlign w:val="top"/>
          </w:tcPr>
          <w:p w14:paraId="0989F0BD">
            <w:pPr>
              <w:pStyle w:val="21"/>
              <w:spacing w:line="360" w:lineRule="auto"/>
              <w:jc w:val="both"/>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流失风险监测</w:t>
            </w:r>
          </w:p>
        </w:tc>
        <w:tc>
          <w:tcPr>
            <w:tcW w:w="4956" w:type="dxa"/>
            <w:tcMar>
              <w:top w:w="0" w:type="dxa"/>
              <w:left w:w="105" w:type="dxa"/>
              <w:bottom w:w="0" w:type="dxa"/>
              <w:right w:w="105" w:type="dxa"/>
            </w:tcMar>
            <w:vAlign w:val="top"/>
          </w:tcPr>
          <w:p w14:paraId="2B4E6218">
            <w:pPr>
              <w:keepNext w:val="0"/>
              <w:keepLines w:val="0"/>
              <w:widowControl/>
              <w:suppressLineNumbers w:val="0"/>
              <w:spacing w:line="36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阳性指征监测：系统结合患者的病历、报告数据数据，自动监测患者存在的手术指征（或科室自定义的相关指征）</w:t>
            </w:r>
          </w:p>
        </w:tc>
      </w:tr>
      <w:tr w14:paraId="4654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394FF9D9">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1549" w:type="dxa"/>
            <w:vMerge w:val="continue"/>
            <w:tcMar>
              <w:top w:w="0" w:type="dxa"/>
              <w:left w:w="105" w:type="dxa"/>
              <w:bottom w:w="0" w:type="dxa"/>
              <w:right w:w="105" w:type="dxa"/>
            </w:tcMar>
            <w:vAlign w:val="top"/>
          </w:tcPr>
          <w:p w14:paraId="579011F3">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11AFB00C">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4DA45BF3">
            <w:pPr>
              <w:keepNext w:val="0"/>
              <w:keepLines w:val="0"/>
              <w:widowControl/>
              <w:suppressLineNumbers w:val="0"/>
              <w:spacing w:line="36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风险患者标记：识别与监测患者相关指征的治疗情况，对应收却未收治的患者进行标记，并根据患者的收治必要性分出相应的分级</w:t>
            </w:r>
          </w:p>
        </w:tc>
      </w:tr>
      <w:tr w14:paraId="4329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3E180FFF">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1549" w:type="dxa"/>
            <w:vMerge w:val="continue"/>
            <w:tcMar>
              <w:top w:w="0" w:type="dxa"/>
              <w:left w:w="105" w:type="dxa"/>
              <w:bottom w:w="0" w:type="dxa"/>
              <w:right w:w="105" w:type="dxa"/>
            </w:tcMar>
            <w:vAlign w:val="top"/>
          </w:tcPr>
          <w:p w14:paraId="05C1AC19">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39E3C580">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508396F9">
            <w:pPr>
              <w:keepNext w:val="0"/>
              <w:keepLines w:val="0"/>
              <w:widowControl/>
              <w:suppressLineNumbers w:val="0"/>
              <w:spacing w:line="360" w:lineRule="auto"/>
              <w:jc w:val="left"/>
              <w:rPr>
                <w:rFonts w:hint="eastAsia" w:ascii="仿宋" w:hAnsi="仿宋" w:eastAsia="仿宋" w:cs="仿宋"/>
                <w:color w:val="auto"/>
                <w:sz w:val="24"/>
                <w:lang w:val="en-US" w:eastAsia="zh-CN"/>
              </w:rPr>
            </w:pPr>
            <w:r>
              <w:rPr>
                <w:rFonts w:hint="eastAsia" w:ascii="仿宋" w:hAnsi="仿宋" w:eastAsia="仿宋" w:cs="仿宋"/>
                <w:color w:val="auto"/>
                <w:kern w:val="0"/>
                <w:sz w:val="21"/>
                <w:szCs w:val="21"/>
                <w:lang w:val="en-US" w:eastAsia="zh-CN" w:bidi="ar"/>
              </w:rPr>
              <w:t>风险审查推送：被标记患者存在较大流失风险，系统可自动分发至相关科室，由合适的人员进行审查与追踪</w:t>
            </w:r>
          </w:p>
        </w:tc>
      </w:tr>
      <w:tr w14:paraId="7619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4F535FF0">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1549" w:type="dxa"/>
            <w:vMerge w:val="continue"/>
            <w:tcMar>
              <w:top w:w="0" w:type="dxa"/>
              <w:left w:w="105" w:type="dxa"/>
              <w:bottom w:w="0" w:type="dxa"/>
              <w:right w:w="105" w:type="dxa"/>
            </w:tcMar>
            <w:vAlign w:val="top"/>
          </w:tcPr>
          <w:p w14:paraId="03BDA9ED">
            <w:pPr>
              <w:pStyle w:val="21"/>
              <w:spacing w:line="360" w:lineRule="auto"/>
              <w:jc w:val="both"/>
              <w:rPr>
                <w:rFonts w:hint="eastAsia" w:ascii="仿宋" w:hAnsi="仿宋" w:eastAsia="仿宋" w:cs="仿宋"/>
                <w:b/>
                <w:color w:val="auto"/>
                <w:sz w:val="24"/>
              </w:rPr>
            </w:pPr>
          </w:p>
        </w:tc>
        <w:tc>
          <w:tcPr>
            <w:tcW w:w="1542" w:type="dxa"/>
            <w:vMerge w:val="restart"/>
            <w:tcMar>
              <w:top w:w="0" w:type="dxa"/>
              <w:left w:w="105" w:type="dxa"/>
              <w:bottom w:w="0" w:type="dxa"/>
              <w:right w:w="105" w:type="dxa"/>
            </w:tcMar>
            <w:vAlign w:val="top"/>
          </w:tcPr>
          <w:p w14:paraId="1EC57C05">
            <w:pPr>
              <w:pStyle w:val="21"/>
              <w:spacing w:line="360" w:lineRule="auto"/>
              <w:jc w:val="both"/>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分发患者召回</w:t>
            </w:r>
          </w:p>
        </w:tc>
        <w:tc>
          <w:tcPr>
            <w:tcW w:w="4956" w:type="dxa"/>
            <w:tcMar>
              <w:top w:w="0" w:type="dxa"/>
              <w:left w:w="105" w:type="dxa"/>
              <w:bottom w:w="0" w:type="dxa"/>
              <w:right w:w="105" w:type="dxa"/>
            </w:tcMar>
            <w:vAlign w:val="top"/>
          </w:tcPr>
          <w:p w14:paraId="187440F9">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本科室接诊提醒：对于本科室应收未收的患者，分发至患者的接诊医生，提醒医生重点关注，并由接诊医生进行处理与收治。</w:t>
            </w:r>
          </w:p>
        </w:tc>
      </w:tr>
      <w:tr w14:paraId="5670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6E299966">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1549" w:type="dxa"/>
            <w:vMerge w:val="continue"/>
            <w:tcMar>
              <w:top w:w="0" w:type="dxa"/>
              <w:left w:w="105" w:type="dxa"/>
              <w:bottom w:w="0" w:type="dxa"/>
              <w:right w:w="105" w:type="dxa"/>
            </w:tcMar>
            <w:vAlign w:val="top"/>
          </w:tcPr>
          <w:p w14:paraId="51274F80">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6291CCED">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7CDEB109">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跨科室收治审查：对于本科室应收但未在本科室就诊的患者（定义为跨科室患者），分发至本科室的专管员处，由科室专管员统一管理与审查。</w:t>
            </w:r>
          </w:p>
        </w:tc>
      </w:tr>
      <w:tr w14:paraId="1FE0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7A4813D6">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1549" w:type="dxa"/>
            <w:vMerge w:val="continue"/>
            <w:tcMar>
              <w:top w:w="0" w:type="dxa"/>
              <w:left w:w="105" w:type="dxa"/>
              <w:bottom w:w="0" w:type="dxa"/>
              <w:right w:w="105" w:type="dxa"/>
            </w:tcMar>
            <w:vAlign w:val="top"/>
          </w:tcPr>
          <w:p w14:paraId="612AAA41">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6E3F43A3">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1F00AB6E">
            <w:pPr>
              <w:keepNext w:val="0"/>
              <w:keepLines w:val="0"/>
              <w:widowControl/>
              <w:suppressLineNumbers w:val="0"/>
              <w:spacing w:line="360" w:lineRule="auto"/>
              <w:jc w:val="left"/>
              <w:rPr>
                <w:rFonts w:hint="eastAsia" w:ascii="仿宋" w:hAnsi="仿宋" w:eastAsia="仿宋" w:cs="仿宋"/>
                <w:color w:val="auto"/>
              </w:rPr>
            </w:pPr>
            <w:r>
              <w:rPr>
                <w:rFonts w:hint="eastAsia" w:ascii="仿宋" w:hAnsi="仿宋" w:eastAsia="仿宋" w:cs="仿宋"/>
                <w:color w:val="auto"/>
                <w:kern w:val="0"/>
                <w:sz w:val="21"/>
                <w:szCs w:val="21"/>
                <w:lang w:val="en-US" w:eastAsia="zh-CN" w:bidi="ar"/>
              </w:rPr>
              <w:t xml:space="preserve">查看依据：对于推送的患者，专管员可以查看其之所以被推送的原因与相关的原始数据（病历文书、报告、 </w:t>
            </w:r>
          </w:p>
          <w:p w14:paraId="6B1B234F">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处方单等）</w:t>
            </w:r>
          </w:p>
        </w:tc>
      </w:tr>
      <w:tr w14:paraId="1002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2A02C076">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13</w:t>
            </w:r>
          </w:p>
        </w:tc>
        <w:tc>
          <w:tcPr>
            <w:tcW w:w="1549" w:type="dxa"/>
            <w:vMerge w:val="continue"/>
            <w:tcMar>
              <w:top w:w="0" w:type="dxa"/>
              <w:left w:w="105" w:type="dxa"/>
              <w:bottom w:w="0" w:type="dxa"/>
              <w:right w:w="105" w:type="dxa"/>
            </w:tcMar>
            <w:vAlign w:val="top"/>
          </w:tcPr>
          <w:p w14:paraId="0E580FD2">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165B18A5">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18B79484">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查看患者动向：系统自动梳理患者在院内的就诊记录，专管员可快速了解并确认患者是否需要进一步召回</w:t>
            </w:r>
          </w:p>
        </w:tc>
      </w:tr>
      <w:tr w14:paraId="7204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11D3D3D6">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w:t>
            </w:r>
          </w:p>
        </w:tc>
        <w:tc>
          <w:tcPr>
            <w:tcW w:w="1549" w:type="dxa"/>
            <w:vMerge w:val="continue"/>
            <w:tcMar>
              <w:top w:w="0" w:type="dxa"/>
              <w:left w:w="105" w:type="dxa"/>
              <w:bottom w:w="0" w:type="dxa"/>
              <w:right w:w="105" w:type="dxa"/>
            </w:tcMar>
            <w:vAlign w:val="top"/>
          </w:tcPr>
          <w:p w14:paraId="0769F27D">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4F1B0A68">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53D51F50">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关键患者通知：对于需要优先就诊的关键患者，专管员可以通过短信发送优先加号的凭证，或通过电话联系后直接为患者办理住院证。</w:t>
            </w:r>
          </w:p>
        </w:tc>
      </w:tr>
      <w:tr w14:paraId="6AB8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10EC9FFD">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1549" w:type="dxa"/>
            <w:vMerge w:val="continue"/>
            <w:tcMar>
              <w:top w:w="0" w:type="dxa"/>
              <w:left w:w="105" w:type="dxa"/>
              <w:bottom w:w="0" w:type="dxa"/>
              <w:right w:w="105" w:type="dxa"/>
            </w:tcMar>
            <w:vAlign w:val="top"/>
          </w:tcPr>
          <w:p w14:paraId="0A779AC0">
            <w:pPr>
              <w:pStyle w:val="21"/>
              <w:spacing w:line="360" w:lineRule="auto"/>
              <w:jc w:val="both"/>
              <w:rPr>
                <w:rFonts w:hint="eastAsia" w:ascii="仿宋" w:hAnsi="仿宋" w:eastAsia="仿宋" w:cs="仿宋"/>
                <w:b/>
                <w:color w:val="auto"/>
                <w:sz w:val="24"/>
              </w:rPr>
            </w:pPr>
          </w:p>
        </w:tc>
        <w:tc>
          <w:tcPr>
            <w:tcW w:w="1542" w:type="dxa"/>
            <w:vMerge w:val="restart"/>
            <w:tcMar>
              <w:top w:w="0" w:type="dxa"/>
              <w:left w:w="105" w:type="dxa"/>
              <w:bottom w:w="0" w:type="dxa"/>
              <w:right w:w="105" w:type="dxa"/>
            </w:tcMar>
            <w:vAlign w:val="top"/>
          </w:tcPr>
          <w:p w14:paraId="75D1926D">
            <w:pPr>
              <w:pStyle w:val="21"/>
              <w:spacing w:line="360" w:lineRule="auto"/>
              <w:jc w:val="both"/>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纳管患者追踪</w:t>
            </w:r>
          </w:p>
        </w:tc>
        <w:tc>
          <w:tcPr>
            <w:tcW w:w="4956" w:type="dxa"/>
            <w:tcMar>
              <w:top w:w="0" w:type="dxa"/>
              <w:left w:w="105" w:type="dxa"/>
              <w:bottom w:w="0" w:type="dxa"/>
              <w:right w:w="105" w:type="dxa"/>
            </w:tcMar>
            <w:vAlign w:val="top"/>
          </w:tcPr>
          <w:p w14:paraId="4895732A">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关键患者纳管：对于关键的患者，专管员可以将其纳入管理队列，由随访人员跟踪患者的就诊意向，确保通知到位。</w:t>
            </w:r>
          </w:p>
        </w:tc>
      </w:tr>
      <w:tr w14:paraId="4B8C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702C51B4">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16</w:t>
            </w:r>
          </w:p>
        </w:tc>
        <w:tc>
          <w:tcPr>
            <w:tcW w:w="1549" w:type="dxa"/>
            <w:vMerge w:val="continue"/>
            <w:tcMar>
              <w:top w:w="0" w:type="dxa"/>
              <w:left w:w="105" w:type="dxa"/>
              <w:bottom w:w="0" w:type="dxa"/>
              <w:right w:w="105" w:type="dxa"/>
            </w:tcMar>
            <w:vAlign w:val="top"/>
          </w:tcPr>
          <w:p w14:paraId="4E758976">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45EC0A5E">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6FA7AA13">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自动追踪提示：对于被纳管的患者，系统自动监测并提醒纳管后患者在本院的关键就诊流向，避免多科室联系收治冲突的问题。</w:t>
            </w:r>
          </w:p>
        </w:tc>
      </w:tr>
      <w:tr w14:paraId="790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2DCB0A4E">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17</w:t>
            </w:r>
          </w:p>
        </w:tc>
        <w:tc>
          <w:tcPr>
            <w:tcW w:w="1549" w:type="dxa"/>
            <w:vMerge w:val="continue"/>
            <w:tcMar>
              <w:top w:w="0" w:type="dxa"/>
              <w:left w:w="105" w:type="dxa"/>
              <w:bottom w:w="0" w:type="dxa"/>
              <w:right w:w="105" w:type="dxa"/>
            </w:tcMar>
            <w:vAlign w:val="top"/>
          </w:tcPr>
          <w:p w14:paraId="7675E564">
            <w:pPr>
              <w:pStyle w:val="21"/>
              <w:spacing w:line="360" w:lineRule="auto"/>
              <w:jc w:val="both"/>
              <w:rPr>
                <w:rFonts w:hint="eastAsia" w:ascii="仿宋" w:hAnsi="仿宋" w:eastAsia="仿宋" w:cs="仿宋"/>
                <w:b/>
                <w:color w:val="auto"/>
                <w:sz w:val="24"/>
              </w:rPr>
            </w:pPr>
          </w:p>
        </w:tc>
        <w:tc>
          <w:tcPr>
            <w:tcW w:w="1542" w:type="dxa"/>
            <w:vMerge w:val="restart"/>
            <w:tcMar>
              <w:top w:w="0" w:type="dxa"/>
              <w:left w:w="105" w:type="dxa"/>
              <w:bottom w:w="0" w:type="dxa"/>
              <w:right w:w="105" w:type="dxa"/>
            </w:tcMar>
            <w:vAlign w:val="top"/>
          </w:tcPr>
          <w:p w14:paraId="6A09F634">
            <w:pPr>
              <w:pStyle w:val="21"/>
              <w:spacing w:line="360" w:lineRule="auto"/>
              <w:jc w:val="both"/>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科室召回管理</w:t>
            </w:r>
          </w:p>
        </w:tc>
        <w:tc>
          <w:tcPr>
            <w:tcW w:w="4956" w:type="dxa"/>
            <w:tcMar>
              <w:top w:w="0" w:type="dxa"/>
              <w:left w:w="105" w:type="dxa"/>
              <w:bottom w:w="0" w:type="dxa"/>
              <w:right w:w="105" w:type="dxa"/>
            </w:tcMar>
            <w:vAlign w:val="top"/>
          </w:tcPr>
          <w:p w14:paraId="3E8BBD35">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患者召回闭环：系统支持已流失患者的闭环管理，支持追踪筛查-分发-审查-通知-收治回院等各节点的操作记录。</w:t>
            </w:r>
          </w:p>
        </w:tc>
      </w:tr>
      <w:tr w14:paraId="5D62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3A2D530E">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18</w:t>
            </w:r>
          </w:p>
        </w:tc>
        <w:tc>
          <w:tcPr>
            <w:tcW w:w="1549" w:type="dxa"/>
            <w:vMerge w:val="continue"/>
            <w:tcMar>
              <w:top w:w="0" w:type="dxa"/>
              <w:left w:w="105" w:type="dxa"/>
              <w:bottom w:w="0" w:type="dxa"/>
              <w:right w:w="105" w:type="dxa"/>
            </w:tcMar>
            <w:vAlign w:val="top"/>
          </w:tcPr>
          <w:p w14:paraId="272F7D05">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1BADC1BC">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023C3971">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科室任务追踪：专管员可以查看分发至本科室接诊医生处的患者召回闭环情况，对未及时处理的医生进行通知或帮助其进行处理</w:t>
            </w:r>
          </w:p>
        </w:tc>
      </w:tr>
      <w:tr w14:paraId="2021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5E04BD9E">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19</w:t>
            </w:r>
          </w:p>
        </w:tc>
        <w:tc>
          <w:tcPr>
            <w:tcW w:w="1549" w:type="dxa"/>
            <w:vMerge w:val="continue"/>
            <w:tcMar>
              <w:top w:w="0" w:type="dxa"/>
              <w:left w:w="105" w:type="dxa"/>
              <w:bottom w:w="0" w:type="dxa"/>
              <w:right w:w="105" w:type="dxa"/>
            </w:tcMar>
            <w:vAlign w:val="top"/>
          </w:tcPr>
          <w:p w14:paraId="45EE4C91">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7B59A171">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141083CA">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患者流向分析：科室专管员可查看本科室、跨科室患者的收治情况与就诊流向统计</w:t>
            </w:r>
          </w:p>
        </w:tc>
      </w:tr>
      <w:tr w14:paraId="115D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0FD52A12">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20</w:t>
            </w:r>
          </w:p>
        </w:tc>
        <w:tc>
          <w:tcPr>
            <w:tcW w:w="1549" w:type="dxa"/>
            <w:vMerge w:val="continue"/>
            <w:tcMar>
              <w:top w:w="0" w:type="dxa"/>
              <w:left w:w="105" w:type="dxa"/>
              <w:bottom w:w="0" w:type="dxa"/>
              <w:right w:w="105" w:type="dxa"/>
            </w:tcMar>
            <w:vAlign w:val="top"/>
          </w:tcPr>
          <w:p w14:paraId="34403514">
            <w:pPr>
              <w:pStyle w:val="21"/>
              <w:spacing w:line="360" w:lineRule="auto"/>
              <w:jc w:val="both"/>
              <w:rPr>
                <w:rFonts w:hint="eastAsia" w:ascii="仿宋" w:hAnsi="仿宋" w:eastAsia="仿宋" w:cs="仿宋"/>
                <w:b/>
                <w:color w:val="auto"/>
                <w:sz w:val="24"/>
              </w:rPr>
            </w:pPr>
          </w:p>
        </w:tc>
        <w:tc>
          <w:tcPr>
            <w:tcW w:w="1542" w:type="dxa"/>
            <w:vMerge w:val="restart"/>
            <w:tcMar>
              <w:top w:w="0" w:type="dxa"/>
              <w:left w:w="105" w:type="dxa"/>
              <w:bottom w:w="0" w:type="dxa"/>
              <w:right w:w="105" w:type="dxa"/>
            </w:tcMar>
            <w:vAlign w:val="top"/>
          </w:tcPr>
          <w:p w14:paraId="14462054">
            <w:pPr>
              <w:pStyle w:val="21"/>
              <w:spacing w:line="360" w:lineRule="auto"/>
              <w:jc w:val="both"/>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规则制定与管理</w:t>
            </w:r>
          </w:p>
        </w:tc>
        <w:tc>
          <w:tcPr>
            <w:tcW w:w="4956" w:type="dxa"/>
            <w:tcMar>
              <w:top w:w="0" w:type="dxa"/>
              <w:left w:w="105" w:type="dxa"/>
              <w:bottom w:w="0" w:type="dxa"/>
              <w:right w:w="105" w:type="dxa"/>
            </w:tcMar>
            <w:vAlign w:val="top"/>
          </w:tcPr>
          <w:p w14:paraId="6631795C">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科室个性化：各科室可以根据科室的综合情况自由制定需检测的相关指征，数据来源包含患者基础信息、就诊记录、相关报告等</w:t>
            </w:r>
          </w:p>
        </w:tc>
      </w:tr>
      <w:tr w14:paraId="05E6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216F7FC5">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21</w:t>
            </w:r>
          </w:p>
        </w:tc>
        <w:tc>
          <w:tcPr>
            <w:tcW w:w="1549" w:type="dxa"/>
            <w:vMerge w:val="continue"/>
            <w:tcMar>
              <w:top w:w="0" w:type="dxa"/>
              <w:left w:w="105" w:type="dxa"/>
              <w:bottom w:w="0" w:type="dxa"/>
              <w:right w:w="105" w:type="dxa"/>
            </w:tcMar>
            <w:vAlign w:val="top"/>
          </w:tcPr>
          <w:p w14:paraId="627DB355">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2C9D788A">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3CE6608A">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规则分级分管：管理员可以根据科室的定义，设置特定患者标记的级别与需要分发的科室或专家。</w:t>
            </w:r>
          </w:p>
        </w:tc>
      </w:tr>
      <w:tr w14:paraId="7564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5158DFD6">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22</w:t>
            </w:r>
          </w:p>
        </w:tc>
        <w:tc>
          <w:tcPr>
            <w:tcW w:w="1549" w:type="dxa"/>
            <w:vMerge w:val="continue"/>
            <w:tcMar>
              <w:top w:w="0" w:type="dxa"/>
              <w:left w:w="105" w:type="dxa"/>
              <w:bottom w:w="0" w:type="dxa"/>
              <w:right w:w="105" w:type="dxa"/>
            </w:tcMar>
            <w:vAlign w:val="top"/>
          </w:tcPr>
          <w:p w14:paraId="7CFF9FD3">
            <w:pPr>
              <w:pStyle w:val="21"/>
              <w:spacing w:line="360" w:lineRule="auto"/>
              <w:jc w:val="both"/>
              <w:rPr>
                <w:rFonts w:hint="eastAsia" w:ascii="仿宋" w:hAnsi="仿宋" w:eastAsia="仿宋" w:cs="仿宋"/>
                <w:b/>
                <w:color w:val="auto"/>
                <w:sz w:val="24"/>
              </w:rPr>
            </w:pPr>
          </w:p>
        </w:tc>
        <w:tc>
          <w:tcPr>
            <w:tcW w:w="1542" w:type="dxa"/>
            <w:vMerge w:val="restart"/>
            <w:tcMar>
              <w:top w:w="0" w:type="dxa"/>
              <w:left w:w="105" w:type="dxa"/>
              <w:bottom w:w="0" w:type="dxa"/>
              <w:right w:w="105" w:type="dxa"/>
            </w:tcMar>
            <w:vAlign w:val="top"/>
          </w:tcPr>
          <w:p w14:paraId="6D46574C">
            <w:pPr>
              <w:keepNext w:val="0"/>
              <w:keepLines w:val="0"/>
              <w:widowControl/>
              <w:suppressLineNumbers w:val="0"/>
              <w:spacing w:line="360" w:lineRule="auto"/>
              <w:jc w:val="left"/>
              <w:rPr>
                <w:rFonts w:hint="eastAsia" w:ascii="仿宋" w:hAnsi="仿宋" w:eastAsia="仿宋" w:cs="仿宋"/>
                <w:b/>
                <w:color w:val="auto"/>
                <w:sz w:val="24"/>
              </w:rPr>
            </w:pPr>
            <w:r>
              <w:rPr>
                <w:rFonts w:hint="eastAsia" w:ascii="仿宋" w:hAnsi="仿宋" w:eastAsia="仿宋" w:cs="仿宋"/>
                <w:color w:val="auto"/>
                <w:kern w:val="0"/>
                <w:sz w:val="21"/>
                <w:szCs w:val="21"/>
                <w:lang w:val="en-US" w:eastAsia="zh-CN" w:bidi="ar"/>
              </w:rPr>
              <w:t>召回监测与数据统计</w:t>
            </w:r>
          </w:p>
        </w:tc>
        <w:tc>
          <w:tcPr>
            <w:tcW w:w="4956" w:type="dxa"/>
            <w:tcMar>
              <w:top w:w="0" w:type="dxa"/>
              <w:left w:w="105" w:type="dxa"/>
              <w:bottom w:w="0" w:type="dxa"/>
              <w:right w:w="105" w:type="dxa"/>
            </w:tcMar>
            <w:vAlign w:val="top"/>
          </w:tcPr>
          <w:p w14:paraId="4328C5A0">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筛查记录审查：管理员可监测每一个被筛查患者相关依据的正确性，并对不正确的分配进行干预</w:t>
            </w:r>
          </w:p>
        </w:tc>
      </w:tr>
      <w:tr w14:paraId="6E36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554772CF">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23</w:t>
            </w:r>
          </w:p>
        </w:tc>
        <w:tc>
          <w:tcPr>
            <w:tcW w:w="1549" w:type="dxa"/>
            <w:vMerge w:val="continue"/>
            <w:tcMar>
              <w:top w:w="0" w:type="dxa"/>
              <w:left w:w="105" w:type="dxa"/>
              <w:bottom w:w="0" w:type="dxa"/>
              <w:right w:w="105" w:type="dxa"/>
            </w:tcMar>
            <w:vAlign w:val="top"/>
          </w:tcPr>
          <w:p w14:paraId="4A8AF00D">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28A734AA">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1E988C6B">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绩效数据统计：管理员可以查看各科室各专管员的患者分发与处理统计数据，了解科室工作的执行情况，并根据科室的配合程度调整分发策略</w:t>
            </w:r>
          </w:p>
        </w:tc>
      </w:tr>
      <w:tr w14:paraId="0854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626DABFB">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24</w:t>
            </w:r>
          </w:p>
        </w:tc>
        <w:tc>
          <w:tcPr>
            <w:tcW w:w="1549" w:type="dxa"/>
            <w:vMerge w:val="continue"/>
            <w:tcMar>
              <w:top w:w="0" w:type="dxa"/>
              <w:left w:w="105" w:type="dxa"/>
              <w:bottom w:w="0" w:type="dxa"/>
              <w:right w:w="105" w:type="dxa"/>
            </w:tcMar>
            <w:vAlign w:val="top"/>
          </w:tcPr>
          <w:p w14:paraId="2A4576D9">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6AC65963">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51B38C2C">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指征因素统计：管理员可查看各类指征的患者召回情况统计，分析临床对特定指征关注程度可能存在的缺陷</w:t>
            </w:r>
          </w:p>
        </w:tc>
      </w:tr>
      <w:tr w14:paraId="4704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62161263">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25</w:t>
            </w:r>
          </w:p>
        </w:tc>
        <w:tc>
          <w:tcPr>
            <w:tcW w:w="1549" w:type="dxa"/>
            <w:vMerge w:val="restart"/>
            <w:tcMar>
              <w:top w:w="0" w:type="dxa"/>
              <w:left w:w="105" w:type="dxa"/>
              <w:bottom w:w="0" w:type="dxa"/>
              <w:right w:w="105" w:type="dxa"/>
            </w:tcMar>
            <w:vAlign w:val="top"/>
          </w:tcPr>
          <w:p w14:paraId="1B34B137">
            <w:pPr>
              <w:pStyle w:val="21"/>
              <w:spacing w:line="360" w:lineRule="auto"/>
              <w:jc w:val="both"/>
              <w:rPr>
                <w:rFonts w:hint="eastAsia" w:ascii="仿宋" w:hAnsi="仿宋" w:eastAsia="仿宋" w:cs="仿宋"/>
                <w:b/>
                <w:color w:val="auto"/>
                <w:sz w:val="24"/>
              </w:rPr>
            </w:pPr>
            <w:r>
              <w:rPr>
                <w:rFonts w:hint="eastAsia" w:ascii="仿宋" w:hAnsi="仿宋" w:eastAsia="仿宋" w:cs="仿宋"/>
                <w:color w:val="auto"/>
                <w:sz w:val="24"/>
                <w:szCs w:val="24"/>
                <w:vertAlign w:val="baseline"/>
                <w:lang w:val="en-US" w:eastAsia="zh-CN"/>
              </w:rPr>
              <w:t>基于大模型面向医疗管理的全流程病历内涵质控</w:t>
            </w:r>
          </w:p>
        </w:tc>
        <w:tc>
          <w:tcPr>
            <w:tcW w:w="1542" w:type="dxa"/>
            <w:tcMar>
              <w:top w:w="0" w:type="dxa"/>
              <w:left w:w="105" w:type="dxa"/>
              <w:bottom w:w="0" w:type="dxa"/>
              <w:right w:w="105" w:type="dxa"/>
            </w:tcMar>
            <w:vAlign w:val="top"/>
          </w:tcPr>
          <w:p w14:paraId="10CD6986">
            <w:pPr>
              <w:pStyle w:val="21"/>
              <w:spacing w:line="360" w:lineRule="auto"/>
              <w:jc w:val="both"/>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及时性风险提示</w:t>
            </w:r>
          </w:p>
        </w:tc>
        <w:tc>
          <w:tcPr>
            <w:tcW w:w="4956" w:type="dxa"/>
            <w:tcMar>
              <w:top w:w="0" w:type="dxa"/>
              <w:left w:w="105" w:type="dxa"/>
              <w:bottom w:w="0" w:type="dxa"/>
              <w:right w:w="105" w:type="dxa"/>
            </w:tcMar>
            <w:vAlign w:val="top"/>
          </w:tcPr>
          <w:p w14:paraId="0BEEA73D">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倒计时风险提醒：临床医生未在特定时间内记录相关文书的缺陷是无法修改，系统需要在超时前提醒医生完善相关记录</w:t>
            </w:r>
          </w:p>
        </w:tc>
      </w:tr>
      <w:tr w14:paraId="7825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3DE8FE43">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26</w:t>
            </w:r>
          </w:p>
        </w:tc>
        <w:tc>
          <w:tcPr>
            <w:tcW w:w="1549" w:type="dxa"/>
            <w:vMerge w:val="continue"/>
            <w:tcMar>
              <w:top w:w="0" w:type="dxa"/>
              <w:left w:w="105" w:type="dxa"/>
              <w:bottom w:w="0" w:type="dxa"/>
              <w:right w:w="105" w:type="dxa"/>
            </w:tcMar>
            <w:vAlign w:val="top"/>
          </w:tcPr>
          <w:p w14:paraId="424AD783">
            <w:pPr>
              <w:pStyle w:val="21"/>
              <w:spacing w:line="360" w:lineRule="auto"/>
              <w:jc w:val="both"/>
              <w:rPr>
                <w:rFonts w:hint="eastAsia" w:ascii="仿宋" w:hAnsi="仿宋" w:eastAsia="仿宋" w:cs="仿宋"/>
                <w:b/>
                <w:color w:val="auto"/>
                <w:sz w:val="24"/>
              </w:rPr>
            </w:pPr>
          </w:p>
        </w:tc>
        <w:tc>
          <w:tcPr>
            <w:tcW w:w="1542" w:type="dxa"/>
            <w:vMerge w:val="restart"/>
            <w:tcMar>
              <w:top w:w="0" w:type="dxa"/>
              <w:left w:w="105" w:type="dxa"/>
              <w:bottom w:w="0" w:type="dxa"/>
              <w:right w:w="105" w:type="dxa"/>
            </w:tcMar>
            <w:vAlign w:val="top"/>
          </w:tcPr>
          <w:p w14:paraId="5E9D5211">
            <w:pPr>
              <w:pStyle w:val="21"/>
              <w:spacing w:line="360" w:lineRule="auto"/>
              <w:jc w:val="both"/>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文书缺陷反馈</w:t>
            </w:r>
          </w:p>
        </w:tc>
        <w:tc>
          <w:tcPr>
            <w:tcW w:w="4956" w:type="dxa"/>
            <w:tcMar>
              <w:top w:w="0" w:type="dxa"/>
              <w:left w:w="105" w:type="dxa"/>
              <w:bottom w:w="0" w:type="dxa"/>
              <w:right w:w="105" w:type="dxa"/>
            </w:tcMar>
            <w:vAlign w:val="top"/>
          </w:tcPr>
          <w:p w14:paraId="0753DF6C">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文书缺陷监测：医生记录病历时，系统自动监测病历中当前存在或可能存在的缺陷</w:t>
            </w:r>
          </w:p>
        </w:tc>
      </w:tr>
      <w:tr w14:paraId="346F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45DC23B4">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27</w:t>
            </w:r>
          </w:p>
        </w:tc>
        <w:tc>
          <w:tcPr>
            <w:tcW w:w="1549" w:type="dxa"/>
            <w:vMerge w:val="continue"/>
            <w:tcMar>
              <w:top w:w="0" w:type="dxa"/>
              <w:left w:w="105" w:type="dxa"/>
              <w:bottom w:w="0" w:type="dxa"/>
              <w:right w:w="105" w:type="dxa"/>
            </w:tcMar>
            <w:vAlign w:val="top"/>
          </w:tcPr>
          <w:p w14:paraId="4770A568">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29756F88">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7D613324">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缺陷问题展示：对于相关缺陷，系统可以区分其重要性，且自动标明缺陷位置、缺陷内容以及修改建议，让临床优先关注并审查重大的缺陷</w:t>
            </w:r>
          </w:p>
        </w:tc>
      </w:tr>
      <w:tr w14:paraId="12D0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2960F34F">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28</w:t>
            </w:r>
          </w:p>
        </w:tc>
        <w:tc>
          <w:tcPr>
            <w:tcW w:w="1549" w:type="dxa"/>
            <w:vMerge w:val="continue"/>
            <w:tcMar>
              <w:top w:w="0" w:type="dxa"/>
              <w:left w:w="105" w:type="dxa"/>
              <w:bottom w:w="0" w:type="dxa"/>
              <w:right w:w="105" w:type="dxa"/>
            </w:tcMar>
            <w:vAlign w:val="top"/>
          </w:tcPr>
          <w:p w14:paraId="74DCCE1A">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24E52585">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7F1BAC8E">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缺陷修改调整：医生可以根据系统提示的修改建议完成修改，完成修改后系统自动重新质检，展示问题的消除情况。</w:t>
            </w:r>
          </w:p>
        </w:tc>
      </w:tr>
      <w:tr w14:paraId="1FE6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606DAF58">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29</w:t>
            </w:r>
          </w:p>
        </w:tc>
        <w:tc>
          <w:tcPr>
            <w:tcW w:w="1549" w:type="dxa"/>
            <w:vMerge w:val="continue"/>
            <w:tcMar>
              <w:top w:w="0" w:type="dxa"/>
              <w:left w:w="105" w:type="dxa"/>
              <w:bottom w:w="0" w:type="dxa"/>
              <w:right w:w="105" w:type="dxa"/>
            </w:tcMar>
            <w:vAlign w:val="top"/>
          </w:tcPr>
          <w:p w14:paraId="4BF69726">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5FAB6FFB">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7E9F10FF">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甲乙级病历预测：对于有缺陷的病历，系统可以给出综合评分，评估其甲乙级，质检人员将对系统评估的非甲级病历进行重点审查。</w:t>
            </w:r>
          </w:p>
        </w:tc>
      </w:tr>
      <w:tr w14:paraId="6676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6277FEB6">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30</w:t>
            </w:r>
          </w:p>
        </w:tc>
        <w:tc>
          <w:tcPr>
            <w:tcW w:w="1549" w:type="dxa"/>
            <w:vMerge w:val="continue"/>
            <w:tcMar>
              <w:top w:w="0" w:type="dxa"/>
              <w:left w:w="105" w:type="dxa"/>
              <w:bottom w:w="0" w:type="dxa"/>
              <w:right w:w="105" w:type="dxa"/>
            </w:tcMar>
            <w:vAlign w:val="top"/>
          </w:tcPr>
          <w:p w14:paraId="60BFA800">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438F5668">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6F5FE803">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驳回病历复检：对于质检员审查反馈的病历缺陷，临床可以接收相关信息并进行修改，重新提交复检</w:t>
            </w:r>
          </w:p>
        </w:tc>
      </w:tr>
      <w:tr w14:paraId="0CA6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1953ED7E">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31</w:t>
            </w:r>
          </w:p>
        </w:tc>
        <w:tc>
          <w:tcPr>
            <w:tcW w:w="1549" w:type="dxa"/>
            <w:vMerge w:val="continue"/>
            <w:tcMar>
              <w:top w:w="0" w:type="dxa"/>
              <w:left w:w="105" w:type="dxa"/>
              <w:bottom w:w="0" w:type="dxa"/>
              <w:right w:w="105" w:type="dxa"/>
            </w:tcMar>
            <w:vAlign w:val="top"/>
          </w:tcPr>
          <w:p w14:paraId="053A4082">
            <w:pPr>
              <w:pStyle w:val="21"/>
              <w:spacing w:line="360" w:lineRule="auto"/>
              <w:jc w:val="both"/>
              <w:rPr>
                <w:rFonts w:hint="eastAsia" w:ascii="仿宋" w:hAnsi="仿宋" w:eastAsia="仿宋" w:cs="仿宋"/>
                <w:b/>
                <w:color w:val="auto"/>
                <w:sz w:val="24"/>
              </w:rPr>
            </w:pPr>
          </w:p>
        </w:tc>
        <w:tc>
          <w:tcPr>
            <w:tcW w:w="1542" w:type="dxa"/>
            <w:vMerge w:val="restart"/>
            <w:tcMar>
              <w:top w:w="0" w:type="dxa"/>
              <w:left w:w="105" w:type="dxa"/>
              <w:bottom w:w="0" w:type="dxa"/>
              <w:right w:w="105" w:type="dxa"/>
            </w:tcMar>
            <w:vAlign w:val="top"/>
          </w:tcPr>
          <w:p w14:paraId="55B40615">
            <w:pPr>
              <w:pStyle w:val="21"/>
              <w:spacing w:line="360" w:lineRule="auto"/>
              <w:jc w:val="both"/>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重要节点卡控</w:t>
            </w:r>
          </w:p>
        </w:tc>
        <w:tc>
          <w:tcPr>
            <w:tcW w:w="4956" w:type="dxa"/>
            <w:tcMar>
              <w:top w:w="0" w:type="dxa"/>
              <w:left w:w="105" w:type="dxa"/>
              <w:bottom w:w="0" w:type="dxa"/>
              <w:right w:w="105" w:type="dxa"/>
            </w:tcMar>
            <w:vAlign w:val="top"/>
          </w:tcPr>
          <w:p w14:paraId="590BB27F">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文书保存卡控：保存文书时，若存在特定的重大缺陷，系统可以对其进行卡控，不允许完成保存</w:t>
            </w:r>
          </w:p>
        </w:tc>
      </w:tr>
      <w:tr w14:paraId="4B54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3636D130">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32</w:t>
            </w:r>
          </w:p>
        </w:tc>
        <w:tc>
          <w:tcPr>
            <w:tcW w:w="1549" w:type="dxa"/>
            <w:vMerge w:val="continue"/>
            <w:tcMar>
              <w:top w:w="0" w:type="dxa"/>
              <w:left w:w="105" w:type="dxa"/>
              <w:bottom w:w="0" w:type="dxa"/>
              <w:right w:w="105" w:type="dxa"/>
            </w:tcMar>
            <w:vAlign w:val="top"/>
          </w:tcPr>
          <w:p w14:paraId="343375AF">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2C8F3B75">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5E1D6D3B">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科室病历自查：科室内需要对提交的病历进行自查，在提交病历时，系统展示病历的重要缺陷与一般缺陷，由相关人员二次确认是否直接提交。</w:t>
            </w:r>
          </w:p>
        </w:tc>
      </w:tr>
      <w:tr w14:paraId="2856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726C93DD">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33</w:t>
            </w:r>
          </w:p>
        </w:tc>
        <w:tc>
          <w:tcPr>
            <w:tcW w:w="1549" w:type="dxa"/>
            <w:vMerge w:val="continue"/>
            <w:tcMar>
              <w:top w:w="0" w:type="dxa"/>
              <w:left w:w="105" w:type="dxa"/>
              <w:bottom w:w="0" w:type="dxa"/>
              <w:right w:w="105" w:type="dxa"/>
            </w:tcMar>
            <w:vAlign w:val="top"/>
          </w:tcPr>
          <w:p w14:paraId="77A36373">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51456C4B">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745082BE">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病历提交卡控：若病历存在特定的重大缺陷，系统可以对其进行卡控，不允许临床完成提交。特定的重大缺陷由管理人员灵活制定。</w:t>
            </w:r>
          </w:p>
        </w:tc>
      </w:tr>
      <w:tr w14:paraId="71AC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62D8A41B">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34</w:t>
            </w:r>
          </w:p>
        </w:tc>
        <w:tc>
          <w:tcPr>
            <w:tcW w:w="1549" w:type="dxa"/>
            <w:vMerge w:val="continue"/>
            <w:tcMar>
              <w:top w:w="0" w:type="dxa"/>
              <w:left w:w="105" w:type="dxa"/>
              <w:bottom w:w="0" w:type="dxa"/>
              <w:right w:w="105" w:type="dxa"/>
            </w:tcMar>
            <w:vAlign w:val="top"/>
          </w:tcPr>
          <w:p w14:paraId="1894C9F5">
            <w:pPr>
              <w:pStyle w:val="21"/>
              <w:spacing w:line="360" w:lineRule="auto"/>
              <w:jc w:val="both"/>
              <w:rPr>
                <w:rFonts w:hint="eastAsia" w:ascii="仿宋" w:hAnsi="仿宋" w:eastAsia="仿宋" w:cs="仿宋"/>
                <w:b/>
                <w:color w:val="auto"/>
                <w:sz w:val="24"/>
              </w:rPr>
            </w:pPr>
          </w:p>
        </w:tc>
        <w:tc>
          <w:tcPr>
            <w:tcW w:w="1542" w:type="dxa"/>
            <w:vMerge w:val="restart"/>
            <w:tcMar>
              <w:top w:w="0" w:type="dxa"/>
              <w:left w:w="105" w:type="dxa"/>
              <w:bottom w:w="0" w:type="dxa"/>
              <w:right w:w="105" w:type="dxa"/>
            </w:tcMar>
            <w:vAlign w:val="top"/>
          </w:tcPr>
          <w:p w14:paraId="1BBE65CD">
            <w:pPr>
              <w:pStyle w:val="21"/>
              <w:spacing w:line="360" w:lineRule="auto"/>
              <w:jc w:val="both"/>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运行病历抽查</w:t>
            </w:r>
          </w:p>
        </w:tc>
        <w:tc>
          <w:tcPr>
            <w:tcW w:w="4956" w:type="dxa"/>
            <w:tcMar>
              <w:top w:w="0" w:type="dxa"/>
              <w:left w:w="105" w:type="dxa"/>
              <w:bottom w:w="0" w:type="dxa"/>
              <w:right w:w="105" w:type="dxa"/>
            </w:tcMar>
            <w:vAlign w:val="top"/>
          </w:tcPr>
          <w:p w14:paraId="0D0E8129">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在院病历事中监测：对于在院患者的病历，系统自动根据运行病历评分标准完成评分</w:t>
            </w:r>
          </w:p>
        </w:tc>
      </w:tr>
      <w:tr w14:paraId="1B7E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4A74ABEC">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35</w:t>
            </w:r>
          </w:p>
        </w:tc>
        <w:tc>
          <w:tcPr>
            <w:tcW w:w="1549" w:type="dxa"/>
            <w:vMerge w:val="continue"/>
            <w:tcMar>
              <w:top w:w="0" w:type="dxa"/>
              <w:left w:w="105" w:type="dxa"/>
              <w:bottom w:w="0" w:type="dxa"/>
              <w:right w:w="105" w:type="dxa"/>
            </w:tcMar>
            <w:vAlign w:val="top"/>
          </w:tcPr>
          <w:p w14:paraId="0CBC07AA">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3F56C3C9">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51BC7329">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低分病历抽检：质检员可以在系统内抽检当前在院患者的低分病历，以提高病历运行过程中的质量。</w:t>
            </w:r>
          </w:p>
        </w:tc>
      </w:tr>
      <w:tr w14:paraId="18AD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51A4AB05">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36</w:t>
            </w:r>
          </w:p>
        </w:tc>
        <w:tc>
          <w:tcPr>
            <w:tcW w:w="1549" w:type="dxa"/>
            <w:vMerge w:val="continue"/>
            <w:tcMar>
              <w:top w:w="0" w:type="dxa"/>
              <w:left w:w="105" w:type="dxa"/>
              <w:bottom w:w="0" w:type="dxa"/>
              <w:right w:w="105" w:type="dxa"/>
            </w:tcMar>
            <w:vAlign w:val="top"/>
          </w:tcPr>
          <w:p w14:paraId="0AA3F6E5">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23A3626E">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65D8DCC9">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专项问题审查：质检员可以根据医院阶段性的审查要求，在系统中查看存在特定问题的病历，进行专项检查</w:t>
            </w:r>
          </w:p>
        </w:tc>
      </w:tr>
      <w:tr w14:paraId="567D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69FEC104">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37</w:t>
            </w:r>
          </w:p>
        </w:tc>
        <w:tc>
          <w:tcPr>
            <w:tcW w:w="1549" w:type="dxa"/>
            <w:vMerge w:val="continue"/>
            <w:tcMar>
              <w:top w:w="0" w:type="dxa"/>
              <w:left w:w="105" w:type="dxa"/>
              <w:bottom w:w="0" w:type="dxa"/>
              <w:right w:w="105" w:type="dxa"/>
            </w:tcMar>
            <w:vAlign w:val="top"/>
          </w:tcPr>
          <w:p w14:paraId="2B72A682">
            <w:pPr>
              <w:pStyle w:val="21"/>
              <w:spacing w:line="360" w:lineRule="auto"/>
              <w:jc w:val="both"/>
              <w:rPr>
                <w:rFonts w:hint="eastAsia" w:ascii="仿宋" w:hAnsi="仿宋" w:eastAsia="仿宋" w:cs="仿宋"/>
                <w:b/>
                <w:color w:val="auto"/>
                <w:sz w:val="24"/>
              </w:rPr>
            </w:pPr>
          </w:p>
        </w:tc>
        <w:tc>
          <w:tcPr>
            <w:tcW w:w="1542" w:type="dxa"/>
            <w:vMerge w:val="restart"/>
            <w:tcMar>
              <w:top w:w="0" w:type="dxa"/>
              <w:left w:w="105" w:type="dxa"/>
              <w:bottom w:w="0" w:type="dxa"/>
              <w:right w:w="105" w:type="dxa"/>
            </w:tcMar>
            <w:vAlign w:val="top"/>
          </w:tcPr>
          <w:p w14:paraId="017DF7FC">
            <w:pPr>
              <w:pStyle w:val="21"/>
              <w:spacing w:line="360" w:lineRule="auto"/>
              <w:jc w:val="both"/>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院科多级质检</w:t>
            </w:r>
          </w:p>
        </w:tc>
        <w:tc>
          <w:tcPr>
            <w:tcW w:w="4956" w:type="dxa"/>
            <w:tcMar>
              <w:top w:w="0" w:type="dxa"/>
              <w:left w:w="105" w:type="dxa"/>
              <w:bottom w:w="0" w:type="dxa"/>
              <w:right w:w="105" w:type="dxa"/>
            </w:tcMar>
            <w:vAlign w:val="top"/>
          </w:tcPr>
          <w:p w14:paraId="773950EA">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科室质检确认：科级质检员可以查看分配给自己的病历，并对其进行质检审查。未经过科级审查的病历不允许提交归档</w:t>
            </w:r>
          </w:p>
        </w:tc>
      </w:tr>
      <w:tr w14:paraId="07E9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66F3706A">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38</w:t>
            </w:r>
          </w:p>
        </w:tc>
        <w:tc>
          <w:tcPr>
            <w:tcW w:w="1549" w:type="dxa"/>
            <w:vMerge w:val="continue"/>
            <w:tcMar>
              <w:top w:w="0" w:type="dxa"/>
              <w:left w:w="105" w:type="dxa"/>
              <w:bottom w:w="0" w:type="dxa"/>
              <w:right w:w="105" w:type="dxa"/>
            </w:tcMar>
            <w:vAlign w:val="top"/>
          </w:tcPr>
          <w:p w14:paraId="5466C866">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00FF17B8">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3A8861CE">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归档病历审查：对于归档病历，可由管理员建立抽查病历的任务，由院级质检员完成事后归档质检抽查。</w:t>
            </w:r>
          </w:p>
        </w:tc>
      </w:tr>
      <w:tr w14:paraId="3C7C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34EA8A12">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39</w:t>
            </w:r>
          </w:p>
        </w:tc>
        <w:tc>
          <w:tcPr>
            <w:tcW w:w="1549" w:type="dxa"/>
            <w:vMerge w:val="continue"/>
            <w:tcMar>
              <w:top w:w="0" w:type="dxa"/>
              <w:left w:w="105" w:type="dxa"/>
              <w:bottom w:w="0" w:type="dxa"/>
              <w:right w:w="105" w:type="dxa"/>
            </w:tcMar>
            <w:vAlign w:val="top"/>
          </w:tcPr>
          <w:p w14:paraId="039A33C7">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363D267D">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7642805B">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专项问题追踪：质检员可建立需要追踪的专项问题病历，对于存在特定问题的病历，可以在通知临床医生后持续追踪其修改情况。 对于多次通知不改的病历，可以导出相关名单进一步通报批评。</w:t>
            </w:r>
          </w:p>
        </w:tc>
      </w:tr>
      <w:tr w14:paraId="2F87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393D92A6">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40</w:t>
            </w:r>
          </w:p>
        </w:tc>
        <w:tc>
          <w:tcPr>
            <w:tcW w:w="1549" w:type="dxa"/>
            <w:vMerge w:val="continue"/>
            <w:tcMar>
              <w:top w:w="0" w:type="dxa"/>
              <w:left w:w="105" w:type="dxa"/>
              <w:bottom w:w="0" w:type="dxa"/>
              <w:right w:w="105" w:type="dxa"/>
            </w:tcMar>
            <w:vAlign w:val="top"/>
          </w:tcPr>
          <w:p w14:paraId="42E9697F">
            <w:pPr>
              <w:pStyle w:val="21"/>
              <w:spacing w:line="360" w:lineRule="auto"/>
              <w:jc w:val="both"/>
              <w:rPr>
                <w:rFonts w:hint="eastAsia" w:ascii="仿宋" w:hAnsi="仿宋" w:eastAsia="仿宋" w:cs="仿宋"/>
                <w:b/>
                <w:color w:val="auto"/>
                <w:sz w:val="24"/>
              </w:rPr>
            </w:pPr>
          </w:p>
        </w:tc>
        <w:tc>
          <w:tcPr>
            <w:tcW w:w="1542" w:type="dxa"/>
            <w:vMerge w:val="restart"/>
            <w:tcMar>
              <w:top w:w="0" w:type="dxa"/>
              <w:left w:w="105" w:type="dxa"/>
              <w:bottom w:w="0" w:type="dxa"/>
              <w:right w:w="105" w:type="dxa"/>
            </w:tcMar>
            <w:vAlign w:val="top"/>
          </w:tcPr>
          <w:p w14:paraId="067F4323">
            <w:pPr>
              <w:keepNext w:val="0"/>
              <w:keepLines w:val="0"/>
              <w:widowControl/>
              <w:suppressLineNumbers w:val="0"/>
              <w:spacing w:line="360" w:lineRule="auto"/>
              <w:jc w:val="left"/>
              <w:rPr>
                <w:rFonts w:hint="eastAsia" w:ascii="仿宋" w:hAnsi="仿宋" w:eastAsia="仿宋" w:cs="仿宋"/>
                <w:color w:val="auto"/>
              </w:rPr>
            </w:pPr>
            <w:r>
              <w:rPr>
                <w:rFonts w:hint="eastAsia" w:ascii="仿宋" w:hAnsi="仿宋" w:eastAsia="仿宋" w:cs="仿宋"/>
                <w:color w:val="auto"/>
                <w:kern w:val="0"/>
                <w:sz w:val="21"/>
                <w:szCs w:val="21"/>
                <w:lang w:val="en-US" w:eastAsia="zh-CN" w:bidi="ar"/>
              </w:rPr>
              <w:t>质检规则管理</w:t>
            </w:r>
          </w:p>
          <w:p w14:paraId="0EA604F6">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5352FDF5">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规则创建质检点：系统预置规则引擎，对于判定简单的缺陷，可以通过规则配置的方式快捷创建相关质检点。</w:t>
            </w:r>
          </w:p>
        </w:tc>
      </w:tr>
      <w:tr w14:paraId="4271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1841B5A7">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41</w:t>
            </w:r>
          </w:p>
        </w:tc>
        <w:tc>
          <w:tcPr>
            <w:tcW w:w="1549" w:type="dxa"/>
            <w:vMerge w:val="continue"/>
            <w:tcMar>
              <w:top w:w="0" w:type="dxa"/>
              <w:left w:w="105" w:type="dxa"/>
              <w:bottom w:w="0" w:type="dxa"/>
              <w:right w:w="105" w:type="dxa"/>
            </w:tcMar>
            <w:vAlign w:val="top"/>
          </w:tcPr>
          <w:p w14:paraId="64C16697">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75B45179">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54D984F0">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算法识别创建质检点：系统预置算法服务，对于判定复杂的内涵缺陷，可以通过调用算法服务的方式快捷创建相关质检点。</w:t>
            </w:r>
          </w:p>
        </w:tc>
      </w:tr>
      <w:tr w14:paraId="053E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06CA99D0">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42</w:t>
            </w:r>
          </w:p>
        </w:tc>
        <w:tc>
          <w:tcPr>
            <w:tcW w:w="1549" w:type="dxa"/>
            <w:vMerge w:val="continue"/>
            <w:tcMar>
              <w:top w:w="0" w:type="dxa"/>
              <w:left w:w="105" w:type="dxa"/>
              <w:bottom w:w="0" w:type="dxa"/>
              <w:right w:w="105" w:type="dxa"/>
            </w:tcMar>
            <w:vAlign w:val="top"/>
          </w:tcPr>
          <w:p w14:paraId="278CBF44">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76FECE0E">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7AA9A3D1">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大模型创建质检点：系统预置大模型，对于相对模糊的内涵缺陷，可以询问大模型并由大模型快捷创建相关质检点。</w:t>
            </w:r>
          </w:p>
        </w:tc>
      </w:tr>
      <w:tr w14:paraId="3B70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634DC9A0">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43</w:t>
            </w:r>
          </w:p>
        </w:tc>
        <w:tc>
          <w:tcPr>
            <w:tcW w:w="1549" w:type="dxa"/>
            <w:vMerge w:val="continue"/>
            <w:tcMar>
              <w:top w:w="0" w:type="dxa"/>
              <w:left w:w="105" w:type="dxa"/>
              <w:bottom w:w="0" w:type="dxa"/>
              <w:right w:w="105" w:type="dxa"/>
            </w:tcMar>
            <w:vAlign w:val="top"/>
          </w:tcPr>
          <w:p w14:paraId="773B357E">
            <w:pPr>
              <w:pStyle w:val="21"/>
              <w:spacing w:line="360" w:lineRule="auto"/>
              <w:jc w:val="both"/>
              <w:rPr>
                <w:rFonts w:hint="eastAsia" w:ascii="仿宋" w:hAnsi="仿宋" w:eastAsia="仿宋" w:cs="仿宋"/>
                <w:b/>
                <w:color w:val="auto"/>
                <w:sz w:val="24"/>
              </w:rPr>
            </w:pPr>
          </w:p>
        </w:tc>
        <w:tc>
          <w:tcPr>
            <w:tcW w:w="1542" w:type="dxa"/>
            <w:vMerge w:val="restart"/>
            <w:tcMar>
              <w:top w:w="0" w:type="dxa"/>
              <w:left w:w="105" w:type="dxa"/>
              <w:bottom w:w="0" w:type="dxa"/>
              <w:right w:w="105" w:type="dxa"/>
            </w:tcMar>
            <w:vAlign w:val="top"/>
          </w:tcPr>
          <w:p w14:paraId="5E38B306">
            <w:pPr>
              <w:keepNext w:val="0"/>
              <w:keepLines w:val="0"/>
              <w:widowControl/>
              <w:suppressLineNumbers w:val="0"/>
              <w:spacing w:line="360" w:lineRule="auto"/>
              <w:jc w:val="left"/>
              <w:rPr>
                <w:rFonts w:hint="eastAsia" w:ascii="仿宋" w:hAnsi="仿宋" w:eastAsia="仿宋" w:cs="仿宋"/>
                <w:b/>
                <w:color w:val="auto"/>
                <w:sz w:val="24"/>
              </w:rPr>
            </w:pPr>
            <w:r>
              <w:rPr>
                <w:rFonts w:hint="eastAsia" w:ascii="仿宋" w:hAnsi="仿宋" w:eastAsia="仿宋" w:cs="仿宋"/>
                <w:color w:val="auto"/>
                <w:kern w:val="0"/>
                <w:sz w:val="21"/>
                <w:szCs w:val="21"/>
                <w:lang w:val="en-US" w:eastAsia="zh-CN" w:bidi="ar"/>
              </w:rPr>
              <w:t>审查任务分配</w:t>
            </w:r>
          </w:p>
        </w:tc>
        <w:tc>
          <w:tcPr>
            <w:tcW w:w="4956" w:type="dxa"/>
            <w:tcMar>
              <w:top w:w="0" w:type="dxa"/>
              <w:left w:w="105" w:type="dxa"/>
              <w:bottom w:w="0" w:type="dxa"/>
              <w:right w:w="105" w:type="dxa"/>
            </w:tcMar>
            <w:vAlign w:val="top"/>
          </w:tcPr>
          <w:p w14:paraId="16C45063">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科级质检自动分配科级质检工作中，根据科室病区质检员排班表，对全院的病历进行自动分配。</w:t>
            </w:r>
          </w:p>
        </w:tc>
      </w:tr>
      <w:tr w14:paraId="165D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0A2F8700">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44</w:t>
            </w:r>
          </w:p>
        </w:tc>
        <w:tc>
          <w:tcPr>
            <w:tcW w:w="1549" w:type="dxa"/>
            <w:vMerge w:val="continue"/>
            <w:tcMar>
              <w:top w:w="0" w:type="dxa"/>
              <w:left w:w="105" w:type="dxa"/>
              <w:bottom w:w="0" w:type="dxa"/>
              <w:right w:w="105" w:type="dxa"/>
            </w:tcMar>
            <w:vAlign w:val="top"/>
          </w:tcPr>
          <w:p w14:paraId="406DC5DD">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13951F13">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2DDC05EB">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院级质检审查分配：院级质检的工作中，根据质检专家的审查重点，抽查特定病历并分配给特定专家审查。</w:t>
            </w:r>
          </w:p>
        </w:tc>
      </w:tr>
      <w:tr w14:paraId="76AE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6523D4A1">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45</w:t>
            </w:r>
          </w:p>
        </w:tc>
        <w:tc>
          <w:tcPr>
            <w:tcW w:w="1549" w:type="dxa"/>
            <w:vMerge w:val="continue"/>
            <w:tcMar>
              <w:top w:w="0" w:type="dxa"/>
              <w:left w:w="105" w:type="dxa"/>
              <w:bottom w:w="0" w:type="dxa"/>
              <w:right w:w="105" w:type="dxa"/>
            </w:tcMar>
            <w:vAlign w:val="top"/>
          </w:tcPr>
          <w:p w14:paraId="6140215B">
            <w:pPr>
              <w:pStyle w:val="21"/>
              <w:spacing w:line="360" w:lineRule="auto"/>
              <w:jc w:val="both"/>
              <w:rPr>
                <w:rFonts w:hint="eastAsia" w:ascii="仿宋" w:hAnsi="仿宋" w:eastAsia="仿宋" w:cs="仿宋"/>
                <w:b/>
                <w:color w:val="auto"/>
                <w:sz w:val="24"/>
              </w:rPr>
            </w:pPr>
          </w:p>
        </w:tc>
        <w:tc>
          <w:tcPr>
            <w:tcW w:w="1542" w:type="dxa"/>
            <w:vMerge w:val="restart"/>
            <w:tcMar>
              <w:top w:w="0" w:type="dxa"/>
              <w:left w:w="105" w:type="dxa"/>
              <w:bottom w:w="0" w:type="dxa"/>
              <w:right w:w="105" w:type="dxa"/>
            </w:tcMar>
            <w:vAlign w:val="top"/>
          </w:tcPr>
          <w:p w14:paraId="6EB19773">
            <w:pPr>
              <w:keepNext w:val="0"/>
              <w:keepLines w:val="0"/>
              <w:widowControl/>
              <w:suppressLineNumbers w:val="0"/>
              <w:spacing w:line="360" w:lineRule="auto"/>
              <w:jc w:val="left"/>
              <w:rPr>
                <w:rFonts w:hint="eastAsia" w:ascii="仿宋" w:hAnsi="仿宋" w:eastAsia="仿宋" w:cs="仿宋"/>
                <w:b/>
                <w:color w:val="auto"/>
                <w:sz w:val="24"/>
              </w:rPr>
            </w:pPr>
            <w:r>
              <w:rPr>
                <w:rFonts w:hint="eastAsia" w:ascii="仿宋" w:hAnsi="仿宋" w:eastAsia="仿宋" w:cs="仿宋"/>
                <w:color w:val="auto"/>
                <w:kern w:val="0"/>
                <w:sz w:val="21"/>
                <w:szCs w:val="21"/>
                <w:lang w:val="en-US" w:eastAsia="zh-CN" w:bidi="ar"/>
              </w:rPr>
              <w:t>质检业务追踪</w:t>
            </w:r>
          </w:p>
        </w:tc>
        <w:tc>
          <w:tcPr>
            <w:tcW w:w="4956" w:type="dxa"/>
            <w:tcMar>
              <w:top w:w="0" w:type="dxa"/>
              <w:left w:w="105" w:type="dxa"/>
              <w:bottom w:w="0" w:type="dxa"/>
              <w:right w:w="105" w:type="dxa"/>
            </w:tcMar>
            <w:vAlign w:val="top"/>
          </w:tcPr>
          <w:p w14:paraId="0D2F46B3">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质检员绩效审查：管理员可查看分配任务的最新进展，以追踪各级质检任务的开展情况</w:t>
            </w:r>
          </w:p>
        </w:tc>
      </w:tr>
      <w:tr w14:paraId="2727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26C1DACB">
            <w:pPr>
              <w:pStyle w:val="21"/>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46</w:t>
            </w:r>
          </w:p>
        </w:tc>
        <w:tc>
          <w:tcPr>
            <w:tcW w:w="1549" w:type="dxa"/>
            <w:vMerge w:val="continue"/>
            <w:tcMar>
              <w:top w:w="0" w:type="dxa"/>
              <w:left w:w="105" w:type="dxa"/>
              <w:bottom w:w="0" w:type="dxa"/>
              <w:right w:w="105" w:type="dxa"/>
            </w:tcMar>
            <w:vAlign w:val="top"/>
          </w:tcPr>
          <w:p w14:paraId="40F647C5">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31BE3CBB">
            <w:pPr>
              <w:pStyle w:val="21"/>
              <w:spacing w:line="360" w:lineRule="auto"/>
              <w:jc w:val="both"/>
              <w:rPr>
                <w:rFonts w:hint="eastAsia" w:ascii="仿宋" w:hAnsi="仿宋" w:eastAsia="仿宋" w:cs="仿宋"/>
                <w:b/>
                <w:color w:val="auto"/>
                <w:sz w:val="24"/>
              </w:rPr>
            </w:pPr>
          </w:p>
        </w:tc>
        <w:tc>
          <w:tcPr>
            <w:tcW w:w="4956" w:type="dxa"/>
            <w:tcMar>
              <w:top w:w="0" w:type="dxa"/>
              <w:left w:w="105" w:type="dxa"/>
              <w:bottom w:w="0" w:type="dxa"/>
              <w:right w:w="105" w:type="dxa"/>
            </w:tcMar>
            <w:vAlign w:val="top"/>
          </w:tcPr>
          <w:p w14:paraId="51B116A7">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人工/AI审查比对：系统可以比对人工审查评分与AI审查评分的重合度趋势，以监测AI质检的准确性</w:t>
            </w:r>
          </w:p>
        </w:tc>
      </w:tr>
      <w:tr w14:paraId="71AF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6E480ECC">
            <w:pPr>
              <w:pStyle w:val="21"/>
              <w:spacing w:line="360" w:lineRule="auto"/>
              <w:jc w:val="center"/>
              <w:rPr>
                <w:rFonts w:hint="eastAsia" w:ascii="仿宋" w:hAnsi="仿宋" w:eastAsia="仿宋" w:cs="仿宋"/>
                <w:color w:val="auto"/>
                <w:sz w:val="24"/>
                <w:lang w:val="en-US" w:eastAsia="zh-CN"/>
              </w:rPr>
            </w:pPr>
          </w:p>
        </w:tc>
        <w:tc>
          <w:tcPr>
            <w:tcW w:w="1549" w:type="dxa"/>
            <w:vMerge w:val="restart"/>
            <w:tcMar>
              <w:top w:w="0" w:type="dxa"/>
              <w:left w:w="105" w:type="dxa"/>
              <w:bottom w:w="0" w:type="dxa"/>
              <w:right w:w="105" w:type="dxa"/>
            </w:tcMar>
            <w:vAlign w:val="top"/>
          </w:tcPr>
          <w:p w14:paraId="67EFA2D7">
            <w:pPr>
              <w:pStyle w:val="21"/>
              <w:spacing w:line="360" w:lineRule="auto"/>
              <w:jc w:val="both"/>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智能编码</w:t>
            </w:r>
          </w:p>
        </w:tc>
        <w:tc>
          <w:tcPr>
            <w:tcW w:w="1542" w:type="dxa"/>
            <w:vMerge w:val="restart"/>
            <w:tcMar>
              <w:top w:w="0" w:type="dxa"/>
              <w:left w:w="105" w:type="dxa"/>
              <w:bottom w:w="0" w:type="dxa"/>
              <w:right w:w="105" w:type="dxa"/>
            </w:tcMar>
            <w:vAlign w:val="top"/>
          </w:tcPr>
          <w:p w14:paraId="4F040C58">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智能编码</w:t>
            </w:r>
          </w:p>
        </w:tc>
        <w:tc>
          <w:tcPr>
            <w:tcW w:w="4956" w:type="dxa"/>
            <w:tcMar>
              <w:top w:w="0" w:type="dxa"/>
              <w:left w:w="105" w:type="dxa"/>
              <w:bottom w:w="0" w:type="dxa"/>
              <w:right w:w="105" w:type="dxa"/>
            </w:tcMar>
            <w:vAlign w:val="top"/>
          </w:tcPr>
          <w:p w14:paraId="31E111DD">
            <w:pPr>
              <w:keepNext w:val="0"/>
              <w:keepLines w:val="0"/>
              <w:widowControl/>
              <w:suppressLineNumbers w:val="0"/>
              <w:spacing w:line="360" w:lineRule="auto"/>
              <w:jc w:val="left"/>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患者标签：展示患者标签，用直观的方式标明重点需要关注的信息，如手术、死亡、输血、危重等</w:t>
            </w:r>
          </w:p>
        </w:tc>
      </w:tr>
      <w:tr w14:paraId="4B56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57F841BE">
            <w:pPr>
              <w:pStyle w:val="21"/>
              <w:spacing w:line="360" w:lineRule="auto"/>
              <w:jc w:val="center"/>
              <w:rPr>
                <w:rFonts w:hint="eastAsia" w:ascii="仿宋" w:hAnsi="仿宋" w:eastAsia="仿宋" w:cs="仿宋"/>
                <w:color w:val="auto"/>
                <w:sz w:val="24"/>
                <w:lang w:val="en-US" w:eastAsia="zh-CN"/>
              </w:rPr>
            </w:pPr>
          </w:p>
        </w:tc>
        <w:tc>
          <w:tcPr>
            <w:tcW w:w="1549" w:type="dxa"/>
            <w:vMerge w:val="continue"/>
            <w:tcMar>
              <w:top w:w="0" w:type="dxa"/>
              <w:left w:w="105" w:type="dxa"/>
              <w:bottom w:w="0" w:type="dxa"/>
              <w:right w:w="105" w:type="dxa"/>
            </w:tcMar>
            <w:vAlign w:val="top"/>
          </w:tcPr>
          <w:p w14:paraId="7916EA81">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556A24EC">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p>
        </w:tc>
        <w:tc>
          <w:tcPr>
            <w:tcW w:w="4956" w:type="dxa"/>
            <w:tcMar>
              <w:top w:w="0" w:type="dxa"/>
              <w:left w:w="105" w:type="dxa"/>
              <w:bottom w:w="0" w:type="dxa"/>
              <w:right w:w="105" w:type="dxa"/>
            </w:tcMar>
            <w:vAlign w:val="top"/>
          </w:tcPr>
          <w:p w14:paraId="3C951F3D">
            <w:pPr>
              <w:keepNext w:val="0"/>
              <w:keepLines w:val="0"/>
              <w:widowControl/>
              <w:suppressLineNumbers w:val="0"/>
              <w:spacing w:line="360" w:lineRule="auto"/>
              <w:jc w:val="left"/>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手术记录解析：对手术记录文书进行解析，识别主要手术的名称、部位、术式、入路等，同时识别手术中是否存在淋巴清扫等特殊操作，帮助编码员快速了解手术情况，为编手术编码提供支撑</w:t>
            </w:r>
          </w:p>
        </w:tc>
      </w:tr>
      <w:tr w14:paraId="1FD1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2DD606F7">
            <w:pPr>
              <w:pStyle w:val="21"/>
              <w:spacing w:line="360" w:lineRule="auto"/>
              <w:jc w:val="center"/>
              <w:rPr>
                <w:rFonts w:hint="eastAsia" w:ascii="仿宋" w:hAnsi="仿宋" w:eastAsia="仿宋" w:cs="仿宋"/>
                <w:color w:val="auto"/>
                <w:sz w:val="24"/>
                <w:lang w:val="en-US" w:eastAsia="zh-CN"/>
              </w:rPr>
            </w:pPr>
          </w:p>
        </w:tc>
        <w:tc>
          <w:tcPr>
            <w:tcW w:w="1549" w:type="dxa"/>
            <w:vMerge w:val="continue"/>
            <w:tcMar>
              <w:top w:w="0" w:type="dxa"/>
              <w:left w:w="105" w:type="dxa"/>
              <w:bottom w:w="0" w:type="dxa"/>
              <w:right w:w="105" w:type="dxa"/>
            </w:tcMar>
            <w:vAlign w:val="top"/>
          </w:tcPr>
          <w:p w14:paraId="15A6E254">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25E73018">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p>
        </w:tc>
        <w:tc>
          <w:tcPr>
            <w:tcW w:w="4956" w:type="dxa"/>
            <w:tcMar>
              <w:top w:w="0" w:type="dxa"/>
              <w:left w:w="105" w:type="dxa"/>
              <w:bottom w:w="0" w:type="dxa"/>
              <w:right w:w="105" w:type="dxa"/>
            </w:tcMar>
            <w:vAlign w:val="top"/>
          </w:tcPr>
          <w:p w14:paraId="588C8FD4">
            <w:pPr>
              <w:keepNext w:val="0"/>
              <w:keepLines w:val="0"/>
              <w:widowControl/>
              <w:suppressLineNumbers w:val="0"/>
              <w:spacing w:line="360" w:lineRule="auto"/>
              <w:jc w:val="left"/>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手术编码推荐：结合多手术记录，给出病案首页手术及操作编码的提示，且能够区分主要手术与次要手术</w:t>
            </w:r>
          </w:p>
        </w:tc>
      </w:tr>
      <w:tr w14:paraId="247C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7D65EFD0">
            <w:pPr>
              <w:pStyle w:val="21"/>
              <w:spacing w:line="360" w:lineRule="auto"/>
              <w:jc w:val="center"/>
              <w:rPr>
                <w:rFonts w:hint="eastAsia" w:ascii="仿宋" w:hAnsi="仿宋" w:eastAsia="仿宋" w:cs="仿宋"/>
                <w:color w:val="auto"/>
                <w:sz w:val="24"/>
                <w:lang w:val="en-US" w:eastAsia="zh-CN"/>
              </w:rPr>
            </w:pPr>
          </w:p>
        </w:tc>
        <w:tc>
          <w:tcPr>
            <w:tcW w:w="1549" w:type="dxa"/>
            <w:vMerge w:val="continue"/>
            <w:tcMar>
              <w:top w:w="0" w:type="dxa"/>
              <w:left w:w="105" w:type="dxa"/>
              <w:bottom w:w="0" w:type="dxa"/>
              <w:right w:w="105" w:type="dxa"/>
            </w:tcMar>
            <w:vAlign w:val="top"/>
          </w:tcPr>
          <w:p w14:paraId="7355EE7F">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7DC6870B">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p>
        </w:tc>
        <w:tc>
          <w:tcPr>
            <w:tcW w:w="4956" w:type="dxa"/>
            <w:tcMar>
              <w:top w:w="0" w:type="dxa"/>
              <w:left w:w="105" w:type="dxa"/>
              <w:bottom w:w="0" w:type="dxa"/>
              <w:right w:w="105" w:type="dxa"/>
            </w:tcMar>
            <w:vAlign w:val="top"/>
          </w:tcPr>
          <w:p w14:paraId="06FE831D">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诊断特征补充提示：通过患者住院记录、报告等数据识别可能影响首页编码的特征因素，如低蛋白血症、贫血等易被临床编码忽视的情况。用户查看特征因素时可以了解特征因素的相关建议编码。</w:t>
            </w:r>
          </w:p>
        </w:tc>
      </w:tr>
      <w:tr w14:paraId="21A4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689F5204">
            <w:pPr>
              <w:pStyle w:val="21"/>
              <w:spacing w:line="360" w:lineRule="auto"/>
              <w:jc w:val="center"/>
              <w:rPr>
                <w:rFonts w:hint="eastAsia" w:ascii="仿宋" w:hAnsi="仿宋" w:eastAsia="仿宋" w:cs="仿宋"/>
                <w:color w:val="auto"/>
                <w:sz w:val="24"/>
                <w:lang w:val="en-US" w:eastAsia="zh-CN"/>
              </w:rPr>
            </w:pPr>
          </w:p>
        </w:tc>
        <w:tc>
          <w:tcPr>
            <w:tcW w:w="1549" w:type="dxa"/>
            <w:vMerge w:val="continue"/>
            <w:tcMar>
              <w:top w:w="0" w:type="dxa"/>
              <w:left w:w="105" w:type="dxa"/>
              <w:bottom w:w="0" w:type="dxa"/>
              <w:right w:w="105" w:type="dxa"/>
            </w:tcMar>
            <w:vAlign w:val="top"/>
          </w:tcPr>
          <w:p w14:paraId="14820B22">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6C93414D">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p>
        </w:tc>
        <w:tc>
          <w:tcPr>
            <w:tcW w:w="4956" w:type="dxa"/>
            <w:tcMar>
              <w:top w:w="0" w:type="dxa"/>
              <w:left w:w="105" w:type="dxa"/>
              <w:bottom w:w="0" w:type="dxa"/>
              <w:right w:w="105" w:type="dxa"/>
            </w:tcMar>
            <w:vAlign w:val="top"/>
          </w:tcPr>
          <w:p w14:paraId="10F524AE">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编码问题质控：系统智能检查客观存在的编码问题（如另编码、未特指、性别冲突等），编码员审查病历时，可以查看缺陷及相关修改意见提示。</w:t>
            </w:r>
          </w:p>
        </w:tc>
      </w:tr>
      <w:tr w14:paraId="3E11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Mar>
              <w:top w:w="0" w:type="dxa"/>
              <w:left w:w="105" w:type="dxa"/>
              <w:bottom w:w="0" w:type="dxa"/>
              <w:right w:w="105" w:type="dxa"/>
            </w:tcMar>
            <w:vAlign w:val="top"/>
          </w:tcPr>
          <w:p w14:paraId="72A2F002">
            <w:pPr>
              <w:pStyle w:val="21"/>
              <w:spacing w:line="360" w:lineRule="auto"/>
              <w:jc w:val="center"/>
              <w:rPr>
                <w:rFonts w:hint="eastAsia" w:ascii="仿宋" w:hAnsi="仿宋" w:eastAsia="仿宋" w:cs="仿宋"/>
                <w:color w:val="auto"/>
                <w:sz w:val="24"/>
                <w:lang w:val="en-US" w:eastAsia="zh-CN"/>
              </w:rPr>
            </w:pPr>
          </w:p>
        </w:tc>
        <w:tc>
          <w:tcPr>
            <w:tcW w:w="1549" w:type="dxa"/>
            <w:vMerge w:val="continue"/>
            <w:tcMar>
              <w:top w:w="0" w:type="dxa"/>
              <w:left w:w="105" w:type="dxa"/>
              <w:bottom w:w="0" w:type="dxa"/>
              <w:right w:w="105" w:type="dxa"/>
            </w:tcMar>
            <w:vAlign w:val="top"/>
          </w:tcPr>
          <w:p w14:paraId="63EC43C5">
            <w:pPr>
              <w:pStyle w:val="21"/>
              <w:spacing w:line="360" w:lineRule="auto"/>
              <w:jc w:val="both"/>
              <w:rPr>
                <w:rFonts w:hint="eastAsia" w:ascii="仿宋" w:hAnsi="仿宋" w:eastAsia="仿宋" w:cs="仿宋"/>
                <w:b/>
                <w:color w:val="auto"/>
                <w:sz w:val="24"/>
              </w:rPr>
            </w:pPr>
          </w:p>
        </w:tc>
        <w:tc>
          <w:tcPr>
            <w:tcW w:w="1542" w:type="dxa"/>
            <w:vMerge w:val="continue"/>
            <w:tcMar>
              <w:top w:w="0" w:type="dxa"/>
              <w:left w:w="105" w:type="dxa"/>
              <w:bottom w:w="0" w:type="dxa"/>
              <w:right w:w="105" w:type="dxa"/>
            </w:tcMar>
            <w:vAlign w:val="top"/>
          </w:tcPr>
          <w:p w14:paraId="4A93C207">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p>
        </w:tc>
        <w:tc>
          <w:tcPr>
            <w:tcW w:w="4956" w:type="dxa"/>
            <w:tcMar>
              <w:top w:w="0" w:type="dxa"/>
              <w:left w:w="105" w:type="dxa"/>
              <w:bottom w:w="0" w:type="dxa"/>
              <w:right w:w="105" w:type="dxa"/>
            </w:tcMar>
            <w:vAlign w:val="top"/>
          </w:tcPr>
          <w:p w14:paraId="5C113824">
            <w:pPr>
              <w:keepNext w:val="0"/>
              <w:keepLines w:val="0"/>
              <w:widowControl/>
              <w:suppressLineNumbers w:val="0"/>
              <w:spacing w:line="360" w:lineRule="auto"/>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自动编码：根据患者的入出院、手术记录等文书，自动生成首页的编码，供编码员参考。对于复杂场景（如前后多次手术）的患者，系统可以区分主次手术，并给出原因（如直接解决主要诊断、技术强度较高等）</w:t>
            </w:r>
          </w:p>
        </w:tc>
      </w:tr>
    </w:tbl>
    <w:p w14:paraId="42BB91D9">
      <w:pPr>
        <w:pStyle w:val="21"/>
        <w:spacing w:line="360" w:lineRule="auto"/>
        <w:ind w:firstLine="562" w:firstLineChars="200"/>
        <w:jc w:val="both"/>
        <w:outlineLvl w:val="1"/>
        <w:rPr>
          <w:rFonts w:hint="eastAsia" w:ascii="仿宋" w:hAnsi="仿宋" w:eastAsia="仿宋" w:cs="仿宋"/>
          <w:b/>
          <w:color w:val="auto"/>
          <w:sz w:val="28"/>
          <w:lang w:val="en-US" w:eastAsia="zh-CN"/>
        </w:rPr>
      </w:pPr>
      <w:r>
        <w:rPr>
          <w:rFonts w:hint="eastAsia" w:ascii="仿宋" w:hAnsi="仿宋" w:eastAsia="仿宋" w:cs="仿宋"/>
          <w:b/>
          <w:color w:val="auto"/>
          <w:sz w:val="28"/>
          <w:lang w:val="en-US" w:eastAsia="zh-CN"/>
        </w:rPr>
        <w:t>技术或性能要求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5862"/>
      </w:tblGrid>
      <w:tr w14:paraId="7A20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restart"/>
            <w:tcMar>
              <w:top w:w="0" w:type="dxa"/>
              <w:left w:w="105" w:type="dxa"/>
              <w:bottom w:w="0" w:type="dxa"/>
              <w:right w:w="105" w:type="dxa"/>
            </w:tcMar>
            <w:vAlign w:val="top"/>
          </w:tcPr>
          <w:p w14:paraId="22B894A1">
            <w:pPr>
              <w:pStyle w:val="21"/>
              <w:spacing w:line="360" w:lineRule="auto"/>
              <w:jc w:val="both"/>
              <w:rPr>
                <w:rFonts w:hint="eastAsia" w:ascii="仿宋" w:hAnsi="仿宋" w:eastAsia="仿宋" w:cs="仿宋"/>
                <w:color w:val="auto"/>
              </w:rPr>
            </w:pPr>
            <w:r>
              <w:rPr>
                <w:rFonts w:hint="eastAsia" w:ascii="仿宋" w:hAnsi="仿宋" w:eastAsia="仿宋" w:cs="仿宋"/>
                <w:color w:val="auto"/>
                <w:sz w:val="24"/>
              </w:rPr>
              <w:t>性能架构要求</w:t>
            </w:r>
          </w:p>
          <w:p w14:paraId="4AC83A9F">
            <w:pPr>
              <w:pStyle w:val="21"/>
              <w:spacing w:line="360" w:lineRule="auto"/>
              <w:jc w:val="both"/>
              <w:rPr>
                <w:rFonts w:hint="eastAsia" w:ascii="仿宋" w:hAnsi="仿宋" w:eastAsia="仿宋" w:cs="仿宋"/>
                <w:color w:val="auto"/>
              </w:rPr>
            </w:pPr>
          </w:p>
        </w:tc>
        <w:tc>
          <w:tcPr>
            <w:tcW w:w="5862" w:type="dxa"/>
            <w:tcMar>
              <w:top w:w="0" w:type="dxa"/>
              <w:left w:w="105" w:type="dxa"/>
              <w:bottom w:w="0" w:type="dxa"/>
              <w:right w:w="105" w:type="dxa"/>
            </w:tcMar>
            <w:vAlign w:val="top"/>
          </w:tcPr>
          <w:p w14:paraId="562071D4">
            <w:pPr>
              <w:pStyle w:val="21"/>
              <w:spacing w:line="360" w:lineRule="auto"/>
              <w:jc w:val="both"/>
              <w:rPr>
                <w:rFonts w:hint="eastAsia" w:ascii="仿宋" w:hAnsi="仿宋" w:eastAsia="仿宋" w:cs="仿宋"/>
                <w:color w:val="auto"/>
              </w:rPr>
            </w:pPr>
            <w:r>
              <w:rPr>
                <w:rFonts w:hint="eastAsia" w:ascii="仿宋" w:hAnsi="仿宋" w:eastAsia="仿宋" w:cs="仿宋"/>
                <w:color w:val="auto"/>
                <w:sz w:val="24"/>
              </w:rPr>
              <w:t>用户打开界面和提交事务的平均响应时间应低于1.5秒；用户进行在线实时查询业务操作的数据处理时间应低于4秒（响应）。</w:t>
            </w:r>
          </w:p>
        </w:tc>
      </w:tr>
      <w:tr w14:paraId="2A74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14:paraId="6CF8CE3C">
            <w:pPr>
              <w:spacing w:line="360" w:lineRule="auto"/>
              <w:rPr>
                <w:rFonts w:hint="eastAsia" w:ascii="仿宋" w:hAnsi="仿宋" w:eastAsia="仿宋" w:cs="仿宋"/>
                <w:color w:val="auto"/>
              </w:rPr>
            </w:pPr>
          </w:p>
        </w:tc>
        <w:tc>
          <w:tcPr>
            <w:tcW w:w="5862" w:type="dxa"/>
            <w:tcMar>
              <w:top w:w="0" w:type="dxa"/>
              <w:left w:w="105" w:type="dxa"/>
              <w:bottom w:w="0" w:type="dxa"/>
              <w:right w:w="105" w:type="dxa"/>
            </w:tcMar>
            <w:vAlign w:val="top"/>
          </w:tcPr>
          <w:p w14:paraId="43C39B60">
            <w:pPr>
              <w:pStyle w:val="21"/>
              <w:spacing w:line="360" w:lineRule="auto"/>
              <w:jc w:val="both"/>
              <w:rPr>
                <w:rFonts w:hint="eastAsia" w:ascii="仿宋" w:hAnsi="仿宋" w:eastAsia="仿宋" w:cs="仿宋"/>
                <w:color w:val="auto"/>
              </w:rPr>
            </w:pPr>
            <w:r>
              <w:rPr>
                <w:rFonts w:hint="eastAsia" w:ascii="仿宋" w:hAnsi="仿宋" w:eastAsia="仿宋" w:cs="仿宋"/>
                <w:color w:val="auto"/>
                <w:sz w:val="24"/>
              </w:rPr>
              <w:t>为提升数据分析的时效性和运营决策支持能力，数据分析平台需支持大数据平台构建，支持数据的实时计算分析。</w:t>
            </w:r>
          </w:p>
        </w:tc>
      </w:tr>
      <w:tr w14:paraId="042A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14:paraId="6ADA9DC9">
            <w:pPr>
              <w:spacing w:line="360" w:lineRule="auto"/>
              <w:rPr>
                <w:rFonts w:hint="eastAsia" w:ascii="仿宋" w:hAnsi="仿宋" w:eastAsia="仿宋" w:cs="仿宋"/>
                <w:color w:val="auto"/>
              </w:rPr>
            </w:pPr>
          </w:p>
        </w:tc>
        <w:tc>
          <w:tcPr>
            <w:tcW w:w="5862" w:type="dxa"/>
            <w:tcMar>
              <w:top w:w="0" w:type="dxa"/>
              <w:left w:w="105" w:type="dxa"/>
              <w:bottom w:w="0" w:type="dxa"/>
              <w:right w:w="105" w:type="dxa"/>
            </w:tcMar>
            <w:vAlign w:val="top"/>
          </w:tcPr>
          <w:p w14:paraId="62669D05">
            <w:pPr>
              <w:pStyle w:val="21"/>
              <w:spacing w:line="360" w:lineRule="auto"/>
              <w:jc w:val="both"/>
              <w:rPr>
                <w:rFonts w:hint="eastAsia" w:ascii="仿宋" w:hAnsi="仿宋" w:eastAsia="仿宋" w:cs="仿宋"/>
                <w:color w:val="auto"/>
              </w:rPr>
            </w:pPr>
            <w:r>
              <w:rPr>
                <w:rFonts w:hint="eastAsia" w:ascii="仿宋" w:hAnsi="仿宋" w:eastAsia="仿宋" w:cs="仿宋"/>
                <w:color w:val="auto"/>
                <w:sz w:val="24"/>
              </w:rPr>
              <w:t>产品稳定性要求：系统支持7X24小时不间断运行。</w:t>
            </w:r>
          </w:p>
        </w:tc>
      </w:tr>
      <w:tr w14:paraId="6025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restart"/>
            <w:tcMar>
              <w:top w:w="0" w:type="dxa"/>
              <w:left w:w="105" w:type="dxa"/>
              <w:bottom w:w="0" w:type="dxa"/>
              <w:right w:w="105" w:type="dxa"/>
            </w:tcMar>
            <w:vAlign w:val="top"/>
          </w:tcPr>
          <w:p w14:paraId="1CA03AC1">
            <w:pPr>
              <w:pStyle w:val="21"/>
              <w:spacing w:line="360" w:lineRule="auto"/>
              <w:jc w:val="both"/>
              <w:rPr>
                <w:rFonts w:hint="eastAsia" w:ascii="仿宋" w:hAnsi="仿宋" w:eastAsia="仿宋" w:cs="仿宋"/>
                <w:color w:val="auto"/>
              </w:rPr>
            </w:pPr>
            <w:r>
              <w:rPr>
                <w:rFonts w:hint="eastAsia" w:ascii="仿宋" w:hAnsi="仿宋" w:eastAsia="仿宋" w:cs="仿宋"/>
                <w:color w:val="auto"/>
                <w:sz w:val="24"/>
              </w:rPr>
              <w:t>其它技术要求</w:t>
            </w:r>
          </w:p>
          <w:p w14:paraId="136FAB33">
            <w:pPr>
              <w:pStyle w:val="21"/>
              <w:spacing w:line="360" w:lineRule="auto"/>
              <w:jc w:val="both"/>
              <w:rPr>
                <w:rFonts w:hint="eastAsia" w:ascii="仿宋" w:hAnsi="仿宋" w:eastAsia="仿宋" w:cs="仿宋"/>
                <w:color w:val="auto"/>
              </w:rPr>
            </w:pPr>
          </w:p>
        </w:tc>
        <w:tc>
          <w:tcPr>
            <w:tcW w:w="5862" w:type="dxa"/>
            <w:tcMar>
              <w:top w:w="0" w:type="dxa"/>
              <w:left w:w="105" w:type="dxa"/>
              <w:bottom w:w="0" w:type="dxa"/>
              <w:right w:w="105" w:type="dxa"/>
            </w:tcMar>
            <w:vAlign w:val="top"/>
          </w:tcPr>
          <w:p w14:paraId="7325CAAC">
            <w:pPr>
              <w:pStyle w:val="21"/>
              <w:spacing w:line="360" w:lineRule="auto"/>
              <w:jc w:val="both"/>
              <w:rPr>
                <w:rFonts w:hint="eastAsia" w:ascii="仿宋" w:hAnsi="仿宋" w:eastAsia="仿宋" w:cs="仿宋"/>
                <w:color w:val="auto"/>
              </w:rPr>
            </w:pPr>
            <w:r>
              <w:rPr>
                <w:rFonts w:hint="eastAsia" w:ascii="仿宋" w:hAnsi="仿宋" w:eastAsia="仿宋" w:cs="仿宋"/>
                <w:color w:val="auto"/>
                <w:sz w:val="24"/>
              </w:rPr>
              <w:t>系统需采用B/S架构，纯WEB版产品界面，无需下载客户端。</w:t>
            </w:r>
          </w:p>
        </w:tc>
      </w:tr>
      <w:tr w14:paraId="5E8A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14:paraId="2484BCAE">
            <w:pPr>
              <w:spacing w:line="360" w:lineRule="auto"/>
              <w:rPr>
                <w:rFonts w:hint="eastAsia" w:ascii="仿宋" w:hAnsi="仿宋" w:eastAsia="仿宋" w:cs="仿宋"/>
                <w:color w:val="auto"/>
              </w:rPr>
            </w:pPr>
          </w:p>
        </w:tc>
        <w:tc>
          <w:tcPr>
            <w:tcW w:w="5862" w:type="dxa"/>
            <w:tcMar>
              <w:top w:w="0" w:type="dxa"/>
              <w:left w:w="105" w:type="dxa"/>
              <w:bottom w:w="0" w:type="dxa"/>
              <w:right w:w="105" w:type="dxa"/>
            </w:tcMar>
            <w:vAlign w:val="top"/>
          </w:tcPr>
          <w:p w14:paraId="18714EA6">
            <w:pPr>
              <w:pStyle w:val="21"/>
              <w:spacing w:line="360" w:lineRule="auto"/>
              <w:jc w:val="both"/>
              <w:rPr>
                <w:rFonts w:hint="eastAsia" w:ascii="仿宋" w:hAnsi="仿宋" w:eastAsia="仿宋" w:cs="仿宋"/>
                <w:color w:val="auto"/>
              </w:rPr>
            </w:pPr>
            <w:r>
              <w:rPr>
                <w:rFonts w:hint="eastAsia" w:ascii="仿宋" w:hAnsi="仿宋" w:eastAsia="仿宋" w:cs="仿宋"/>
                <w:color w:val="auto"/>
                <w:sz w:val="24"/>
              </w:rPr>
              <w:t>要求系统实现高可用性，避免单点故障。</w:t>
            </w:r>
          </w:p>
        </w:tc>
      </w:tr>
      <w:tr w14:paraId="4CBF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14:paraId="4DE778D5">
            <w:pPr>
              <w:spacing w:line="360" w:lineRule="auto"/>
              <w:rPr>
                <w:rFonts w:hint="eastAsia" w:ascii="仿宋" w:hAnsi="仿宋" w:eastAsia="仿宋" w:cs="仿宋"/>
                <w:color w:val="auto"/>
              </w:rPr>
            </w:pPr>
          </w:p>
        </w:tc>
        <w:tc>
          <w:tcPr>
            <w:tcW w:w="5862" w:type="dxa"/>
            <w:tcMar>
              <w:top w:w="0" w:type="dxa"/>
              <w:left w:w="105" w:type="dxa"/>
              <w:bottom w:w="0" w:type="dxa"/>
              <w:right w:w="105" w:type="dxa"/>
            </w:tcMar>
            <w:vAlign w:val="top"/>
          </w:tcPr>
          <w:p w14:paraId="040EE491">
            <w:pPr>
              <w:pStyle w:val="21"/>
              <w:spacing w:line="360" w:lineRule="auto"/>
              <w:jc w:val="both"/>
              <w:rPr>
                <w:rFonts w:hint="eastAsia" w:ascii="仿宋" w:hAnsi="仿宋" w:eastAsia="仿宋" w:cs="仿宋"/>
                <w:color w:val="auto"/>
              </w:rPr>
            </w:pPr>
            <w:r>
              <w:rPr>
                <w:rFonts w:hint="eastAsia" w:ascii="仿宋" w:hAnsi="仿宋" w:eastAsia="仿宋" w:cs="仿宋"/>
                <w:color w:val="auto"/>
                <w:sz w:val="24"/>
                <w:lang w:val="en-US" w:eastAsia="zh-CN"/>
              </w:rPr>
              <w:t>系统支持国产化运行环境、</w:t>
            </w:r>
            <w:r>
              <w:rPr>
                <w:rFonts w:hint="eastAsia" w:ascii="仿宋" w:hAnsi="仿宋" w:eastAsia="仿宋" w:cs="仿宋"/>
                <w:color w:val="auto"/>
                <w:sz w:val="24"/>
              </w:rPr>
              <w:t>支持国产数据库。</w:t>
            </w:r>
          </w:p>
        </w:tc>
      </w:tr>
      <w:tr w14:paraId="21FA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14:paraId="1FB60907">
            <w:pPr>
              <w:spacing w:line="360" w:lineRule="auto"/>
              <w:rPr>
                <w:rFonts w:hint="eastAsia" w:ascii="仿宋" w:hAnsi="仿宋" w:eastAsia="仿宋" w:cs="仿宋"/>
                <w:color w:val="auto"/>
              </w:rPr>
            </w:pPr>
          </w:p>
        </w:tc>
        <w:tc>
          <w:tcPr>
            <w:tcW w:w="5862" w:type="dxa"/>
            <w:tcMar>
              <w:top w:w="0" w:type="dxa"/>
              <w:left w:w="105" w:type="dxa"/>
              <w:bottom w:w="0" w:type="dxa"/>
              <w:right w:w="105" w:type="dxa"/>
            </w:tcMar>
            <w:vAlign w:val="top"/>
          </w:tcPr>
          <w:p w14:paraId="2BB5C5BC">
            <w:pPr>
              <w:pStyle w:val="21"/>
              <w:spacing w:line="360" w:lineRule="auto"/>
              <w:jc w:val="both"/>
              <w:rPr>
                <w:rFonts w:hint="eastAsia" w:ascii="仿宋" w:hAnsi="仿宋" w:eastAsia="仿宋" w:cs="仿宋"/>
                <w:color w:val="auto"/>
              </w:rPr>
            </w:pPr>
            <w:r>
              <w:rPr>
                <w:rFonts w:hint="eastAsia" w:ascii="仿宋" w:hAnsi="仿宋" w:eastAsia="仿宋" w:cs="仿宋"/>
                <w:color w:val="auto"/>
                <w:sz w:val="24"/>
              </w:rPr>
              <w:t>系统应满足用户的要求，稳定、可靠、实用，人机界面友好，输出、输入方便，图表生成美观，检索、查询简单快捷。</w:t>
            </w:r>
          </w:p>
        </w:tc>
      </w:tr>
      <w:tr w14:paraId="1D20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tcPr>
          <w:p w14:paraId="0329A7A0">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安全性要求</w:t>
            </w:r>
          </w:p>
        </w:tc>
        <w:tc>
          <w:tcPr>
            <w:tcW w:w="5862" w:type="dxa"/>
            <w:tcMar>
              <w:top w:w="0" w:type="dxa"/>
              <w:left w:w="105" w:type="dxa"/>
              <w:bottom w:w="0" w:type="dxa"/>
              <w:right w:w="105" w:type="dxa"/>
            </w:tcMar>
            <w:vAlign w:val="top"/>
          </w:tcPr>
          <w:p w14:paraId="0498B3EB">
            <w:pPr>
              <w:pStyle w:val="21"/>
              <w:spacing w:line="360" w:lineRule="auto"/>
              <w:jc w:val="both"/>
              <w:rPr>
                <w:rFonts w:hint="eastAsia" w:ascii="仿宋" w:hAnsi="仿宋" w:eastAsia="仿宋" w:cs="仿宋"/>
                <w:color w:val="auto"/>
                <w:sz w:val="24"/>
              </w:rPr>
            </w:pPr>
            <w:r>
              <w:rPr>
                <w:rFonts w:hint="eastAsia" w:ascii="仿宋" w:hAnsi="仿宋" w:eastAsia="仿宋" w:cs="仿宋"/>
                <w:color w:val="auto"/>
                <w:sz w:val="24"/>
              </w:rPr>
              <w:t>医学大模型涉及大量敏感医疗数据，必须具备完善的数据安全机制。投标人需提供详细的数据加密方案，确保数据采集、传输、存储和处理的安全性。模型还需具备针对国产化芯片和操作系统的安全防护措施，如防火墙、入侵检测系统和访问控制机制。在隐私保护方面，模型应遵循《中华人民共和国个人信息保护法》，采取严格的匿名化和脱敏处理措施，防止患者隐私泄露。所有数据操作需有详细的日志记录，便于追溯和监管，确保医疗机构使用时无后顾之忧。</w:t>
            </w:r>
          </w:p>
        </w:tc>
      </w:tr>
      <w:tr w14:paraId="63F2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tcPr>
          <w:p w14:paraId="0F098E02">
            <w:pPr>
              <w:pStyle w:val="21"/>
              <w:jc w:val="left"/>
              <w:rPr>
                <w:rFonts w:hint="eastAsia" w:ascii="仿宋" w:hAnsi="仿宋" w:eastAsia="仿宋" w:cs="仿宋"/>
                <w:color w:val="auto"/>
              </w:rPr>
            </w:pPr>
            <w:r>
              <w:rPr>
                <w:rFonts w:hint="eastAsia" w:ascii="仿宋" w:hAnsi="仿宋" w:eastAsia="仿宋" w:cs="仿宋"/>
                <w:color w:val="auto"/>
                <w:sz w:val="24"/>
              </w:rPr>
              <w:t>国产化芯片硬件环境适配性</w:t>
            </w:r>
          </w:p>
          <w:p w14:paraId="063D9C5D">
            <w:pPr>
              <w:spacing w:line="360" w:lineRule="auto"/>
              <w:rPr>
                <w:rFonts w:hint="eastAsia" w:ascii="仿宋" w:hAnsi="仿宋" w:eastAsia="仿宋" w:cs="仿宋"/>
                <w:color w:val="auto"/>
                <w:lang w:val="en-US" w:eastAsia="zh-CN"/>
              </w:rPr>
            </w:pPr>
          </w:p>
        </w:tc>
        <w:tc>
          <w:tcPr>
            <w:tcW w:w="5862" w:type="dxa"/>
            <w:tcMar>
              <w:top w:w="0" w:type="dxa"/>
              <w:left w:w="105" w:type="dxa"/>
              <w:bottom w:w="0" w:type="dxa"/>
              <w:right w:w="105" w:type="dxa"/>
            </w:tcMar>
            <w:vAlign w:val="top"/>
          </w:tcPr>
          <w:p w14:paraId="2337CBBB">
            <w:pPr>
              <w:pStyle w:val="21"/>
              <w:spacing w:line="360" w:lineRule="auto"/>
              <w:jc w:val="both"/>
              <w:rPr>
                <w:rFonts w:hint="eastAsia" w:ascii="仿宋" w:hAnsi="仿宋" w:eastAsia="仿宋" w:cs="仿宋"/>
                <w:color w:val="auto"/>
                <w:sz w:val="24"/>
              </w:rPr>
            </w:pPr>
            <w:r>
              <w:rPr>
                <w:rFonts w:hint="eastAsia" w:ascii="仿宋" w:hAnsi="仿宋" w:eastAsia="仿宋" w:cs="仿宋"/>
                <w:color w:val="auto"/>
                <w:sz w:val="24"/>
              </w:rPr>
              <w:t>医学大模型必须完全适配国内自主研发的芯片架构，包括CPU、GPU、NPU等异构计算单元。投标人需确保模型能够充分利用这些硬件资源，通过优化推理算法、内存管理和数据传输路径，实现高效并行计算和数据处理。模型在国产化芯片上的运行效率应不低于国际主流芯片平台，以确保临床应用中的响应速度、准确率和能耗表现。为医疗行业提供安全可靠的解决方案。</w:t>
            </w:r>
          </w:p>
        </w:tc>
      </w:tr>
      <w:tr w14:paraId="4609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restart"/>
          </w:tcPr>
          <w:p w14:paraId="16691714">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自然语言处理能力</w:t>
            </w:r>
          </w:p>
        </w:tc>
        <w:tc>
          <w:tcPr>
            <w:tcW w:w="5862" w:type="dxa"/>
            <w:tcMar>
              <w:top w:w="0" w:type="dxa"/>
              <w:left w:w="105" w:type="dxa"/>
              <w:bottom w:w="0" w:type="dxa"/>
              <w:right w:w="105" w:type="dxa"/>
            </w:tcMar>
            <w:vAlign w:val="top"/>
          </w:tcPr>
          <w:p w14:paraId="0CDF9E97">
            <w:pPr>
              <w:pStyle w:val="21"/>
              <w:spacing w:line="360" w:lineRule="auto"/>
              <w:jc w:val="both"/>
              <w:rPr>
                <w:rFonts w:hint="eastAsia" w:ascii="仿宋" w:hAnsi="仿宋" w:eastAsia="仿宋" w:cs="仿宋"/>
                <w:color w:val="auto"/>
                <w:sz w:val="24"/>
              </w:rPr>
            </w:pPr>
            <w:r>
              <w:rPr>
                <w:rFonts w:hint="eastAsia" w:ascii="仿宋" w:hAnsi="仿宋" w:eastAsia="仿宋" w:cs="仿宋"/>
                <w:color w:val="auto"/>
                <w:sz w:val="24"/>
              </w:rPr>
              <w:t>支持病历后结构化处理，通过自然语言处理技术实现机器理解病历文本的语义。可视化展示病历特征与数据特征之间的关系。</w:t>
            </w:r>
          </w:p>
        </w:tc>
      </w:tr>
      <w:tr w14:paraId="3D87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14:paraId="0236B73D">
            <w:pPr>
              <w:spacing w:line="360" w:lineRule="auto"/>
              <w:rPr>
                <w:rFonts w:hint="eastAsia" w:ascii="仿宋" w:hAnsi="仿宋" w:eastAsia="仿宋" w:cs="仿宋"/>
                <w:color w:val="auto"/>
                <w:lang w:val="en-US" w:eastAsia="zh-CN"/>
              </w:rPr>
            </w:pPr>
          </w:p>
        </w:tc>
        <w:tc>
          <w:tcPr>
            <w:tcW w:w="5862" w:type="dxa"/>
            <w:tcMar>
              <w:top w:w="0" w:type="dxa"/>
              <w:left w:w="105" w:type="dxa"/>
              <w:bottom w:w="0" w:type="dxa"/>
              <w:right w:w="105" w:type="dxa"/>
            </w:tcMar>
            <w:vAlign w:val="top"/>
          </w:tcPr>
          <w:p w14:paraId="50402D0C">
            <w:pPr>
              <w:pStyle w:val="21"/>
              <w:spacing w:line="360" w:lineRule="auto"/>
              <w:jc w:val="both"/>
              <w:rPr>
                <w:rFonts w:hint="eastAsia" w:ascii="仿宋" w:hAnsi="仿宋" w:eastAsia="仿宋" w:cs="仿宋"/>
                <w:color w:val="auto"/>
                <w:sz w:val="24"/>
              </w:rPr>
            </w:pPr>
            <w:r>
              <w:rPr>
                <w:rFonts w:hint="eastAsia" w:ascii="仿宋" w:hAnsi="仿宋" w:eastAsia="仿宋" w:cs="仿宋"/>
                <w:color w:val="auto"/>
                <w:sz w:val="24"/>
              </w:rPr>
              <w:t>AI能够准确识别文本中的关键实体，包括但不限于患者信息、疾病名称、检查结果、治疗方案等。实体识别的准确率不低于85%，召回率不低于80%，F1分数不低于87%。</w:t>
            </w:r>
          </w:p>
        </w:tc>
      </w:tr>
      <w:tr w14:paraId="6C9C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14:paraId="6A5E285F">
            <w:pPr>
              <w:spacing w:line="360" w:lineRule="auto"/>
              <w:rPr>
                <w:rFonts w:hint="eastAsia" w:ascii="仿宋" w:hAnsi="仿宋" w:eastAsia="仿宋" w:cs="仿宋"/>
                <w:color w:val="auto"/>
                <w:lang w:val="en-US" w:eastAsia="zh-CN"/>
              </w:rPr>
            </w:pPr>
          </w:p>
        </w:tc>
        <w:tc>
          <w:tcPr>
            <w:tcW w:w="5862" w:type="dxa"/>
            <w:tcMar>
              <w:top w:w="0" w:type="dxa"/>
              <w:left w:w="105" w:type="dxa"/>
              <w:bottom w:w="0" w:type="dxa"/>
              <w:right w:w="105" w:type="dxa"/>
            </w:tcMar>
            <w:vAlign w:val="top"/>
          </w:tcPr>
          <w:p w14:paraId="7AC60FE1">
            <w:pPr>
              <w:pStyle w:val="21"/>
              <w:spacing w:line="360" w:lineRule="auto"/>
              <w:jc w:val="both"/>
              <w:rPr>
                <w:rFonts w:hint="eastAsia" w:ascii="仿宋" w:hAnsi="仿宋" w:eastAsia="仿宋" w:cs="仿宋"/>
                <w:color w:val="auto"/>
                <w:sz w:val="24"/>
              </w:rPr>
            </w:pPr>
            <w:r>
              <w:rPr>
                <w:rFonts w:hint="eastAsia" w:ascii="仿宋" w:hAnsi="仿宋" w:eastAsia="仿宋" w:cs="仿宋"/>
                <w:color w:val="auto"/>
                <w:sz w:val="24"/>
              </w:rPr>
              <w:t>模型性能要求：投标方应使用机器学习模型，包括但不限于深度学习模型、随机森林、梯度提升树等。须提供所用模型的技术说明，包括模型的架构、算法复杂度、训练策略等详细信息，以及模型在医学术语、医嘱、病历文本处理上的具体应用方式。</w:t>
            </w:r>
          </w:p>
        </w:tc>
      </w:tr>
      <w:tr w14:paraId="453F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14:paraId="6C91FCD0">
            <w:pPr>
              <w:spacing w:line="360" w:lineRule="auto"/>
              <w:rPr>
                <w:rFonts w:hint="eastAsia" w:ascii="仿宋" w:hAnsi="仿宋" w:eastAsia="仿宋" w:cs="仿宋"/>
                <w:color w:val="auto"/>
                <w:lang w:val="en-US" w:eastAsia="zh-CN"/>
              </w:rPr>
            </w:pPr>
          </w:p>
        </w:tc>
        <w:tc>
          <w:tcPr>
            <w:tcW w:w="5862" w:type="dxa"/>
            <w:tcMar>
              <w:top w:w="0" w:type="dxa"/>
              <w:left w:w="105" w:type="dxa"/>
              <w:bottom w:w="0" w:type="dxa"/>
              <w:right w:w="105" w:type="dxa"/>
            </w:tcMar>
            <w:vAlign w:val="top"/>
          </w:tcPr>
          <w:p w14:paraId="5198FDFD">
            <w:pPr>
              <w:pStyle w:val="21"/>
              <w:spacing w:line="360" w:lineRule="auto"/>
              <w:jc w:val="both"/>
              <w:rPr>
                <w:rFonts w:hint="eastAsia" w:ascii="仿宋" w:hAnsi="仿宋" w:eastAsia="仿宋" w:cs="仿宋"/>
                <w:color w:val="auto"/>
                <w:sz w:val="24"/>
              </w:rPr>
            </w:pPr>
            <w:r>
              <w:rPr>
                <w:rFonts w:hint="eastAsia" w:ascii="仿宋" w:hAnsi="仿宋" w:eastAsia="仿宋" w:cs="仿宋"/>
                <w:color w:val="auto"/>
                <w:sz w:val="24"/>
              </w:rPr>
              <w:t>提供专有的自然语言处理能力算法开放API接口，该接口需支持实体抽取、实体关系抽取、医学文本后结构化等关键NLP功能，并可供第三方系统调用。并详细说明NLP API的调用方式，包括支持的HTTP请求方法、输入参数格式、认证授权机制、以及返回数据的结构。API接口应符合业界标准的RESTful API设计规范。</w:t>
            </w:r>
          </w:p>
        </w:tc>
      </w:tr>
      <w:tr w14:paraId="5B06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Merge w:val="continue"/>
          </w:tcPr>
          <w:p w14:paraId="3FE470B0">
            <w:pPr>
              <w:spacing w:line="360" w:lineRule="auto"/>
              <w:rPr>
                <w:rFonts w:hint="eastAsia" w:ascii="仿宋" w:hAnsi="仿宋" w:eastAsia="仿宋" w:cs="仿宋"/>
                <w:color w:val="auto"/>
                <w:lang w:val="en-US" w:eastAsia="zh-CN"/>
              </w:rPr>
            </w:pPr>
          </w:p>
        </w:tc>
        <w:tc>
          <w:tcPr>
            <w:tcW w:w="5862" w:type="dxa"/>
            <w:tcMar>
              <w:top w:w="0" w:type="dxa"/>
              <w:left w:w="105" w:type="dxa"/>
              <w:bottom w:w="0" w:type="dxa"/>
              <w:right w:w="105" w:type="dxa"/>
            </w:tcMar>
            <w:vAlign w:val="top"/>
          </w:tcPr>
          <w:p w14:paraId="74A556A6">
            <w:pPr>
              <w:pStyle w:val="21"/>
              <w:spacing w:line="360" w:lineRule="auto"/>
              <w:jc w:val="both"/>
              <w:rPr>
                <w:rFonts w:hint="eastAsia" w:ascii="仿宋" w:hAnsi="仿宋" w:eastAsia="仿宋" w:cs="仿宋"/>
                <w:color w:val="auto"/>
                <w:sz w:val="24"/>
              </w:rPr>
            </w:pPr>
            <w:r>
              <w:rPr>
                <w:rFonts w:hint="eastAsia" w:ascii="仿宋" w:hAnsi="仿宋" w:eastAsia="仿宋" w:cs="仿宋"/>
                <w:color w:val="auto"/>
                <w:sz w:val="24"/>
              </w:rPr>
              <w:t>提供自然语言处理可视化工具，能够实时接收病历文本输入，并自动展示结构化解析结果，包括实体标注和实体间关系的可视化展示。可视化工具应至少支持以下功能：文本分段、实体识别标注、实体关系链接、以及实体属性展示。工具应提供直观的图形界面，便于用户理解解析结果。</w:t>
            </w:r>
          </w:p>
        </w:tc>
      </w:tr>
    </w:tbl>
    <w:p w14:paraId="001EF22D">
      <w:pPr>
        <w:pStyle w:val="21"/>
        <w:spacing w:line="360" w:lineRule="auto"/>
        <w:ind w:firstLine="562" w:firstLineChars="200"/>
        <w:jc w:val="both"/>
        <w:outlineLvl w:val="1"/>
        <w:rPr>
          <w:rFonts w:hint="eastAsia" w:ascii="仿宋" w:hAnsi="仿宋" w:eastAsia="仿宋" w:cs="仿宋"/>
          <w:b/>
          <w:color w:val="auto"/>
          <w:sz w:val="28"/>
          <w:lang w:val="en-US" w:eastAsia="zh-CN"/>
        </w:rPr>
      </w:pPr>
      <w:r>
        <w:rPr>
          <w:rFonts w:hint="eastAsia" w:ascii="仿宋" w:hAnsi="仿宋" w:eastAsia="仿宋" w:cs="仿宋"/>
          <w:b/>
          <w:color w:val="auto"/>
          <w:sz w:val="28"/>
          <w:lang w:val="en-US" w:eastAsia="zh-CN"/>
        </w:rPr>
        <w:t>服务要求</w:t>
      </w:r>
    </w:p>
    <w:p w14:paraId="39E6A8A5">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1.投标报价：</w:t>
      </w:r>
    </w:p>
    <w:p w14:paraId="1DD39DD4">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（1）投标人投标报价包含本项目招标的设备、软件、信息集成、技术支持、售后服务、培训、运输、保险及各种税金等所有费用。</w:t>
      </w:r>
    </w:p>
    <w:p w14:paraId="46EC3D0C">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（2）本项目软件费用预算370万元。</w:t>
      </w:r>
    </w:p>
    <w:p w14:paraId="0F4AB7A2">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投标人各包投标报价超过各包预算的为无效投标。</w:t>
      </w:r>
    </w:p>
    <w:p w14:paraId="0E0687A6">
      <w:pPr>
        <w:spacing w:line="36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2.本</w:t>
      </w:r>
      <w:r>
        <w:rPr>
          <w:rFonts w:hint="eastAsia" w:ascii="仿宋" w:hAnsi="仿宋" w:eastAsia="仿宋" w:cs="仿宋"/>
          <w:color w:val="auto"/>
          <w:sz w:val="24"/>
          <w:szCs w:val="24"/>
          <w:lang w:eastAsia="zh-CN"/>
        </w:rPr>
        <w:t>项目的科研产出至少满足以下条件中的2项：</w:t>
      </w:r>
    </w:p>
    <w:p w14:paraId="644BD854">
      <w:pPr>
        <w:spacing w:line="360" w:lineRule="auto"/>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1)乙方支持甲方申请专利不少于2项，软件著作权不少于3个。</w:t>
      </w:r>
    </w:p>
    <w:p w14:paraId="0AA478E2">
      <w:pPr>
        <w:spacing w:line="360" w:lineRule="auto"/>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2)甲方为第一/通讯作者发表高质量课题论文不少于2篇。</w:t>
      </w:r>
    </w:p>
    <w:p w14:paraId="77C9DBAC">
      <w:pPr>
        <w:spacing w:line="360" w:lineRule="auto"/>
        <w:ind w:firstLine="480" w:firstLineChars="200"/>
        <w:jc w:val="left"/>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lang w:eastAsia="zh-CN"/>
        </w:rPr>
        <w:t>3)各级政府的科研立项1项。</w:t>
      </w:r>
      <w:bookmarkStart w:id="0" w:name="_GoBack"/>
      <w:bookmarkEnd w:id="0"/>
    </w:p>
    <w:p w14:paraId="1E9BD18E">
      <w:pPr>
        <w:spacing w:line="36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lang w:val="en-US" w:eastAsia="zh-CN"/>
        </w:rPr>
        <w:t xml:space="preserve">专业服务团队配置要求 </w:t>
      </w:r>
    </w:p>
    <w:p w14:paraId="1A1065CE">
      <w:pPr>
        <w:spacing w:line="36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lang w:val="en-US" w:eastAsia="zh-CN"/>
        </w:rPr>
        <w:t xml:space="preserve">.1 针对本项目成立软件开发实施项目组，明确项目经理及其他具体人员组成和分工。项目组人员变更需向采购人书面申请并经对方同意。项目经理负责定期每月提交下月工作计划报告以及每周提交工作周报总结，监管项目按进度和计划有效开展。要求项目经理和团队在维保期内，对合同范围内的产品提供免费更新、升级服务，针对本项目安排项目经理负责本项目所有需求，在技术上严格把关，确保项目保质保量及时完成。 </w:t>
      </w:r>
    </w:p>
    <w:p w14:paraId="00DBDED4">
      <w:pPr>
        <w:spacing w:line="36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lang w:val="en-US" w:eastAsia="zh-CN"/>
        </w:rPr>
        <w:t xml:space="preserve">.2 供应商须为本项目配置项目经理1名，负责整个项目的规划、执行、监控和收尾。确保项目目标的实现，包括时间、成本和质量。项目经理须具备信息系统项目管理师(高级)证书且为响应供应商的正式在职员工。 </w:t>
      </w:r>
    </w:p>
    <w:p w14:paraId="23395ACD">
      <w:pPr>
        <w:spacing w:line="36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lang w:val="en-US" w:eastAsia="zh-CN"/>
        </w:rPr>
        <w:t xml:space="preserve">.3 服务团队其余人员由供应商根据项目实际需求自行配置。服务团队应具备良好的专业能力，有严格的安全保密制度，有效的操作管控能力，且必须为供应商现有正式在职员工，需在响应文件中提供相关人员配置方案及人员证书等证明材料。 </w:t>
      </w:r>
    </w:p>
    <w:p w14:paraId="136E795D">
      <w:pPr>
        <w:spacing w:line="36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 xml:space="preserve">、系统上线后的运行服务体系 </w:t>
      </w:r>
    </w:p>
    <w:p w14:paraId="662AA9FF">
      <w:pPr>
        <w:spacing w:line="36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 xml:space="preserve">.1 应急方案 </w:t>
      </w:r>
    </w:p>
    <w:p w14:paraId="70FCE8D4">
      <w:pPr>
        <w:spacing w:line="360" w:lineRule="auto"/>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为提高本项目的安全性，提高处置网络与信息安全突发公共事件能力，加强网络与信息安全保障工作，依照《中华人民共和国数据安全法》、《中华人民共和国个人信息保护法》、《中华人民共和国网络安全法》、《国家网络与信息安全事件应急预案》、《信息安全事件分类分级指南》等条例，形成一套科学、有效、反应迅速的应急工作机制，确保重要计算机信息系统的实体安全、运行安全和</w:t>
      </w:r>
    </w:p>
    <w:p w14:paraId="49B7F986">
      <w:pPr>
        <w:spacing w:line="360" w:lineRule="auto"/>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数据安全，最大限度地减轻平台突发网络与信息安全故障造成的危害。 </w:t>
      </w:r>
    </w:p>
    <w:p w14:paraId="1F56614C">
      <w:pPr>
        <w:spacing w:line="36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 xml:space="preserve">.2 培训服务 </w:t>
      </w:r>
    </w:p>
    <w:p w14:paraId="14090F83">
      <w:pPr>
        <w:spacing w:line="360" w:lineRule="auto"/>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指定专职服务经理来负责本项目的技术支持与售后服务的统一协调工作。指定专业的讲师对使用人员进行培训、技术指导。 </w:t>
      </w:r>
    </w:p>
    <w:p w14:paraId="52C90EF0">
      <w:pPr>
        <w:spacing w:line="360" w:lineRule="auto"/>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除了提供整个系统的技术说明、操作说明等相关的文档之外，还将负责组织对管理和技术、使用人员进行全面高质量的培训。 </w:t>
      </w:r>
    </w:p>
    <w:p w14:paraId="58A60AB8">
      <w:pPr>
        <w:spacing w:line="360" w:lineRule="auto"/>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培训内容主要包括： </w:t>
      </w:r>
    </w:p>
    <w:p w14:paraId="6784A66E">
      <w:pPr>
        <w:spacing w:line="360" w:lineRule="auto"/>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（1）项目建设概况 </w:t>
      </w:r>
    </w:p>
    <w:p w14:paraId="72356152">
      <w:pPr>
        <w:spacing w:line="360" w:lineRule="auto"/>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（2）系统功能及使用方法 </w:t>
      </w:r>
    </w:p>
    <w:p w14:paraId="59DBBCB8">
      <w:pPr>
        <w:spacing w:line="360" w:lineRule="auto"/>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（3）使用过程中可能遇到的问题及解决方案 </w:t>
      </w:r>
    </w:p>
    <w:p w14:paraId="5D2B02A9">
      <w:pPr>
        <w:spacing w:line="360" w:lineRule="auto"/>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培训的主要目的是使工作人员对整个本项目系统有一个更加清晰的认识，对整体使用方法有更深的了解，便于使用过程中能更加熟练。 </w:t>
      </w:r>
    </w:p>
    <w:p w14:paraId="4FD5BAD7">
      <w:pPr>
        <w:spacing w:line="360" w:lineRule="auto"/>
        <w:jc w:val="left"/>
        <w:rPr>
          <w:rFonts w:hint="default" w:ascii="仿宋" w:hAnsi="仿宋" w:eastAsia="仿宋" w:cs="仿宋"/>
          <w:color w:val="auto"/>
          <w:sz w:val="24"/>
          <w:szCs w:val="24"/>
          <w:highlight w:val="yellow"/>
          <w:lang w:val="en-US" w:eastAsia="zh-CN"/>
        </w:rPr>
      </w:pPr>
      <w:r>
        <w:rPr>
          <w:rFonts w:hint="default" w:ascii="仿宋" w:hAnsi="仿宋" w:eastAsia="仿宋" w:cs="仿宋"/>
          <w:color w:val="auto"/>
          <w:sz w:val="24"/>
          <w:szCs w:val="24"/>
          <w:highlight w:val="none"/>
          <w:lang w:val="en-US" w:eastAsia="zh-CN"/>
        </w:rPr>
        <w:t>供应商应对上述内容的实现方式、地点、人数、时间在响应文件中详细说明。</w:t>
      </w:r>
    </w:p>
    <w:p w14:paraId="0CF2AC04">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售后服务：本项目乙方提供的自有知识产权的产品甲方具有永久使用权。两年项目合作期后（即第3年起），若不在签署新的协议，已经在甲方应用的产品和服务甲方有权继续使用，需要缴纳维保升级服务费，年服务费标准为产品总价的5%。</w:t>
      </w:r>
    </w:p>
    <w:p w14:paraId="23A2DB17">
      <w:pPr>
        <w:pStyle w:val="20"/>
        <w:numPr>
          <w:ilvl w:val="0"/>
          <w:numId w:val="5"/>
        </w:numPr>
        <w:spacing w:line="360" w:lineRule="auto"/>
        <w:outlineLvl w:val="1"/>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供应商资格要求</w:t>
      </w:r>
    </w:p>
    <w:p w14:paraId="335A8B59">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1.学术与研究资质</w:t>
      </w:r>
    </w:p>
    <w:p w14:paraId="7069099C">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1.1高校背景</w:t>
      </w:r>
    </w:p>
    <w:p w14:paraId="0AFDB629">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需要依托985大学及计算机科学与技术学院的双重学科的优势，同时需要依托大学医学院（评分项：需提供近5年承担3项省级医疗人工智能相关重点研发计划）。</w:t>
      </w:r>
    </w:p>
    <w:p w14:paraId="30C33897">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1.2省级新型研发机构</w:t>
      </w:r>
    </w:p>
    <w:p w14:paraId="709F890E">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需具备至少15项国家级或省级</w:t>
      </w:r>
      <w:r>
        <w:rPr>
          <w:rFonts w:hint="eastAsia" w:ascii="仿宋" w:hAnsi="仿宋" w:eastAsia="仿宋" w:cs="仿宋"/>
          <w:color w:val="auto"/>
          <w:sz w:val="24"/>
          <w:szCs w:val="24"/>
          <w:highlight w:val="none"/>
          <w:vertAlign w:val="baseline"/>
          <w:lang w:val="en-US" w:eastAsia="zh-CN"/>
        </w:rPr>
        <w:t>荣誉资质（省级荣誉中需包括人工智能或大数据相关的资质）</w:t>
      </w:r>
      <w:r>
        <w:rPr>
          <w:rFonts w:hint="eastAsia" w:ascii="仿宋" w:hAnsi="仿宋" w:eastAsia="仿宋" w:cs="仿宋"/>
          <w:color w:val="auto"/>
          <w:sz w:val="24"/>
          <w:szCs w:val="24"/>
          <w:highlight w:val="none"/>
          <w:vertAlign w:val="baseline"/>
          <w:lang w:val="en-US" w:eastAsia="zh-CN"/>
        </w:rPr>
        <w:t>，同时覆盖医学AI全链条研发能力。</w:t>
      </w:r>
      <w:r>
        <w:rPr>
          <w:rFonts w:hint="eastAsia" w:ascii="仿宋" w:hAnsi="仿宋" w:eastAsia="仿宋" w:cs="仿宋"/>
          <w:color w:val="auto"/>
          <w:sz w:val="24"/>
          <w:szCs w:val="24"/>
          <w:highlight w:val="none"/>
          <w:vertAlign w:val="baseline"/>
          <w:lang w:val="en-US" w:eastAsia="zh-CN"/>
        </w:rPr>
        <w:t>（投标时需提供相关证明材料）。</w:t>
      </w:r>
    </w:p>
    <w:p w14:paraId="79C3635C">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2．研究平台要求（对标省级重点实验室标准）‌</w:t>
      </w:r>
    </w:p>
    <w:p w14:paraId="762F896B">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‌一、省级重点实验室资质要求‌</w:t>
      </w:r>
    </w:p>
    <w:p w14:paraId="7275AB69">
      <w:pPr>
        <w:numPr>
          <w:ilvl w:val="0"/>
          <w:numId w:val="6"/>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‌实验室认证‌：投标单位须具备省级及以上科技主管部门认定的“大数据智能计算”领域重点实验室资质。</w:t>
      </w:r>
    </w:p>
    <w:p w14:paraId="540F03AA">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（2）‌研究方向覆盖‌：实验室研究方向需涵大数据智能计算领域、多模态大模型等核心领域，且近5年承担至少3项省级重大科技专项。</w:t>
      </w:r>
    </w:p>
    <w:p w14:paraId="09088E88">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‌二、高性能算力平台能力‌</w:t>
      </w:r>
    </w:p>
    <w:p w14:paraId="021F7004">
      <w:pPr>
        <w:numPr>
          <w:ilvl w:val="0"/>
          <w:numId w:val="7"/>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‌算力配置要求‌：</w:t>
      </w:r>
    </w:p>
    <w:p w14:paraId="03DCD3A6">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人工智能高性能计算平台需满足(高性能算力平台能力‌)：</w:t>
      </w:r>
    </w:p>
    <w:p w14:paraId="247E9ABA">
      <w:pPr>
        <w:numPr>
          <w:ilvl w:val="1"/>
          <w:numId w:val="8"/>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集群算力总力要求需不少于1850TFlops，可支持大语言模型的训练调优与调优满足医疗场景的应用。</w:t>
      </w:r>
    </w:p>
    <w:p w14:paraId="2FF6BF5F">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 ‌技术兼容性‌：平台需集成联邦学习框架（如FATE）、隐私计算模块，确保与省级重点实验室技术架构兼容。</w:t>
      </w:r>
    </w:p>
    <w:p w14:paraId="55467F55">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(2)人才工作站要求</w:t>
      </w:r>
    </w:p>
    <w:p w14:paraId="6F50CBC9">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 团队工作站资质‌：‌</w:t>
      </w:r>
    </w:p>
    <w:p w14:paraId="20BC1EBB">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2.1.1人才要求‌</w:t>
      </w:r>
    </w:p>
    <w:p w14:paraId="669F3EE5">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‌领军人才数量‌：技术团队中须包含至少1名人工智能及相关领域的国家级人才（含青年人才），年龄≤55周岁，且近3年主持过省级及以上重大科技专项（如智能诊疗技术研发）。（评分项）</w:t>
      </w:r>
    </w:p>
    <w:p w14:paraId="4BA4F76D">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2.2科研贡献要求‌：</w:t>
      </w:r>
    </w:p>
    <w:p w14:paraId="71E1C3C6">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项目相关核心成员需在人工智能领域发表≥10篇TOP期刊论文。</w:t>
      </w:r>
      <w:r>
        <w:rPr>
          <w:rFonts w:hint="eastAsia" w:ascii="仿宋" w:hAnsi="仿宋" w:eastAsia="仿宋" w:cs="仿宋"/>
          <w:color w:val="auto"/>
          <w:sz w:val="24"/>
          <w:szCs w:val="24"/>
          <w:highlight w:val="none"/>
          <w:vertAlign w:val="baseline"/>
          <w:lang w:val="en-US" w:eastAsia="zh-CN"/>
        </w:rPr>
        <w:t>（投标时提供证明材料）</w:t>
      </w:r>
    </w:p>
    <w:p w14:paraId="73B94FCB">
      <w:pPr>
        <w:numPr>
          <w:ilvl w:val="0"/>
          <w:numId w:val="0"/>
        </w:numPr>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2.3青年骨干比例‌：40岁以下青年科研人员占比≥70%，其中博士及高级职称占比≥25%，至少1人入选“博士后择优支助”等。</w:t>
      </w:r>
      <w:r>
        <w:rPr>
          <w:rFonts w:hint="eastAsia" w:ascii="仿宋" w:hAnsi="仿宋" w:eastAsia="仿宋" w:cs="仿宋"/>
          <w:color w:val="auto"/>
          <w:sz w:val="24"/>
          <w:szCs w:val="24"/>
          <w:highlight w:val="none"/>
          <w:vertAlign w:val="baseline"/>
          <w:lang w:val="en-US" w:eastAsia="zh-CN"/>
        </w:rPr>
        <w:t>（投标时提供证明材料）</w:t>
      </w:r>
    </w:p>
    <w:p w14:paraId="147F77C8">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 xml:space="preserve">2.4人才成果转化指标 </w:t>
      </w:r>
    </w:p>
    <w:p w14:paraId="2B5F5130">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‌科研产出要求‌：近5年团队须在人工智能领域实现以下成果：</w:t>
      </w:r>
    </w:p>
    <w:p w14:paraId="74348A90">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2.4.2获得省部级及以上科技奖励≥1项（浙江省科学技术进步奖）。</w:t>
      </w:r>
    </w:p>
    <w:p w14:paraId="0957061F">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2.4.3参与制定国家级/行业技术标准≥1项。</w:t>
      </w:r>
    </w:p>
    <w:p w14:paraId="21291C9B">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 xml:space="preserve">2.5科研合作能力要求  </w:t>
      </w:r>
    </w:p>
    <w:p w14:paraId="0DCEF8AA">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2.5.1医学人工智能领域联合实验室合作案例‌：提供近2年与1家或以上三甲医院联合开展的人工智能联合实验室项目证明。</w:t>
      </w:r>
    </w:p>
    <w:p w14:paraId="3F711D06">
      <w:pPr>
        <w:numPr>
          <w:ilvl w:val="0"/>
          <w:numId w:val="9"/>
        </w:numPr>
        <w:spacing w:line="360" w:lineRule="auto"/>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基于医学领域大模型、医学知识库、医学Copilot（</w:t>
      </w:r>
      <w:r>
        <w:rPr>
          <w:rFonts w:hint="eastAsia" w:ascii="仿宋" w:hAnsi="仿宋" w:eastAsia="仿宋" w:cs="仿宋"/>
          <w:color w:val="auto"/>
          <w:sz w:val="24"/>
          <w:szCs w:val="24"/>
          <w:lang w:val="en-US" w:eastAsia="zh-CN"/>
        </w:rPr>
        <w:t>医生助手</w:t>
      </w:r>
      <w:r>
        <w:rPr>
          <w:rFonts w:hint="eastAsia" w:ascii="仿宋" w:hAnsi="仿宋" w:eastAsia="仿宋" w:cs="仿宋"/>
          <w:color w:val="auto"/>
          <w:sz w:val="24"/>
          <w:szCs w:val="24"/>
          <w:lang w:eastAsia="zh-CN"/>
        </w:rPr>
        <w:t>）、AI患者精准追踪系统（APTS）、病历文书助手、辅助诊疗助手、工作清单助手、全流程病历内涵质控、智能编码等所有已上线产品及两年合作期内新增的其它可以在甲方使用的产品及服务。</w:t>
      </w:r>
    </w:p>
    <w:p w14:paraId="04ADEA37">
      <w:pPr>
        <w:pStyle w:val="2"/>
        <w:numPr>
          <w:ilvl w:val="0"/>
          <w:numId w:val="2"/>
        </w:numPr>
        <w:bidi w:val="0"/>
        <w:ind w:left="432" w:leftChars="0" w:hanging="432" w:firstLineChars="0"/>
        <w:rPr>
          <w:rFonts w:hint="eastAsia"/>
          <w:color w:val="auto"/>
          <w:lang w:val="en-US" w:eastAsia="zh-CN"/>
        </w:rPr>
      </w:pPr>
      <w:r>
        <w:rPr>
          <w:rFonts w:hint="eastAsia"/>
          <w:color w:val="auto"/>
          <w:lang w:val="en-US" w:eastAsia="zh-CN"/>
        </w:rPr>
        <w:t>实施方案</w:t>
      </w:r>
    </w:p>
    <w:p w14:paraId="5912D6E9">
      <w:pPr>
        <w:pStyle w:val="14"/>
        <w:keepNext w:val="0"/>
        <w:keepLines w:val="0"/>
        <w:widowControl/>
        <w:suppressLineNumbers w:val="0"/>
        <w:shd w:val="clear" w:fill="FFFFFF"/>
        <w:wordWrap w:val="0"/>
        <w:spacing w:before="0" w:beforeAutospacing="0" w:after="180" w:afterAutospacing="0"/>
        <w:ind w:left="0" w:right="0" w:firstLine="480" w:firstLineChars="200"/>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基于2年</w:t>
      </w:r>
      <w:r>
        <w:rPr>
          <w:rFonts w:hint="eastAsia" w:ascii="仿宋" w:hAnsi="仿宋" w:eastAsia="仿宋" w:cs="仿宋"/>
          <w:color w:val="auto"/>
          <w:kern w:val="2"/>
          <w:sz w:val="24"/>
          <w:szCs w:val="24"/>
          <w:lang w:val="en-US" w:eastAsia="zh-CN" w:bidi="ar-SA"/>
        </w:rPr>
        <w:t>项目</w:t>
      </w:r>
      <w:r>
        <w:rPr>
          <w:rFonts w:hint="default" w:ascii="仿宋" w:hAnsi="仿宋" w:eastAsia="仿宋" w:cs="仿宋"/>
          <w:color w:val="auto"/>
          <w:kern w:val="2"/>
          <w:sz w:val="24"/>
          <w:szCs w:val="24"/>
          <w:lang w:val="en-US" w:eastAsia="zh-CN" w:bidi="ar-SA"/>
        </w:rPr>
        <w:t>期</w:t>
      </w:r>
      <w:r>
        <w:rPr>
          <w:rFonts w:hint="eastAsia" w:ascii="仿宋" w:hAnsi="仿宋" w:eastAsia="仿宋" w:cs="仿宋"/>
          <w:color w:val="auto"/>
          <w:kern w:val="2"/>
          <w:sz w:val="24"/>
          <w:szCs w:val="24"/>
          <w:lang w:val="en-US" w:eastAsia="zh-CN" w:bidi="ar-SA"/>
        </w:rPr>
        <w:t>实施</w:t>
      </w:r>
      <w:r>
        <w:rPr>
          <w:rFonts w:hint="default" w:ascii="仿宋" w:hAnsi="仿宋" w:eastAsia="仿宋" w:cs="仿宋"/>
          <w:color w:val="auto"/>
          <w:kern w:val="2"/>
          <w:sz w:val="24"/>
          <w:szCs w:val="24"/>
          <w:lang w:val="en-US" w:eastAsia="zh-CN" w:bidi="ar-SA"/>
        </w:rPr>
        <w:t>方案，涵盖开发部署</w:t>
      </w:r>
      <w:r>
        <w:rPr>
          <w:rFonts w:hint="eastAsia" w:ascii="仿宋" w:hAnsi="仿宋" w:eastAsia="仿宋" w:cs="仿宋"/>
          <w:color w:val="auto"/>
          <w:kern w:val="2"/>
          <w:sz w:val="24"/>
          <w:szCs w:val="24"/>
          <w:lang w:val="en-US" w:eastAsia="zh-CN" w:bidi="ar-SA"/>
        </w:rPr>
        <w:t>、技术能力建设与提升</w:t>
      </w:r>
      <w:r>
        <w:rPr>
          <w:rFonts w:hint="default" w:ascii="仿宋" w:hAnsi="仿宋" w:eastAsia="仿宋" w:cs="仿宋"/>
          <w:color w:val="auto"/>
          <w:kern w:val="2"/>
          <w:sz w:val="24"/>
          <w:szCs w:val="24"/>
          <w:lang w:val="en-US" w:eastAsia="zh-CN" w:bidi="ar-SA"/>
        </w:rPr>
        <w:t>、科研</w:t>
      </w:r>
      <w:r>
        <w:rPr>
          <w:rFonts w:hint="eastAsia" w:ascii="仿宋" w:hAnsi="仿宋" w:eastAsia="仿宋" w:cs="仿宋"/>
          <w:color w:val="auto"/>
          <w:kern w:val="2"/>
          <w:sz w:val="24"/>
          <w:szCs w:val="24"/>
          <w:lang w:val="en-US" w:eastAsia="zh-CN" w:bidi="ar-SA"/>
        </w:rPr>
        <w:t>合作</w:t>
      </w:r>
      <w:r>
        <w:rPr>
          <w:rFonts w:hint="default" w:ascii="仿宋" w:hAnsi="仿宋" w:eastAsia="仿宋" w:cs="仿宋"/>
          <w:color w:val="auto"/>
          <w:kern w:val="2"/>
          <w:sz w:val="24"/>
          <w:szCs w:val="24"/>
          <w:lang w:val="en-US" w:eastAsia="zh-CN" w:bidi="ar-SA"/>
        </w:rPr>
        <w:t>与运维管理</w:t>
      </w:r>
      <w:r>
        <w:rPr>
          <w:rFonts w:hint="eastAsia" w:ascii="仿宋" w:hAnsi="仿宋" w:eastAsia="仿宋" w:cs="仿宋"/>
          <w:color w:val="auto"/>
          <w:kern w:val="2"/>
          <w:sz w:val="24"/>
          <w:szCs w:val="24"/>
          <w:lang w:val="en-US" w:eastAsia="zh-CN" w:bidi="ar-SA"/>
        </w:rPr>
        <w:t>过程</w:t>
      </w:r>
      <w:r>
        <w:rPr>
          <w:rFonts w:hint="default" w:ascii="仿宋" w:hAnsi="仿宋" w:eastAsia="仿宋" w:cs="仿宋"/>
          <w:color w:val="auto"/>
          <w:kern w:val="2"/>
          <w:sz w:val="24"/>
          <w:szCs w:val="24"/>
          <w:lang w:val="en-US" w:eastAsia="zh-CN" w:bidi="ar-SA"/>
        </w:rPr>
        <w:t>：</w:t>
      </w:r>
    </w:p>
    <w:p w14:paraId="16CA68EA">
      <w:pPr>
        <w:pStyle w:val="5"/>
        <w:keepNext w:val="0"/>
        <w:keepLines w:val="0"/>
        <w:widowControl/>
        <w:suppressLineNumbers w:val="0"/>
        <w:shd w:val="clear" w:fill="FFFFFF"/>
        <w:spacing w:before="0" w:beforeAutospacing="0" w:after="30" w:afterAutospacing="0" w:line="450" w:lineRule="atLeast"/>
        <w:ind w:left="0" w:firstLine="0"/>
        <w:jc w:val="left"/>
        <w:rPr>
          <w:rFonts w:hint="default" w:ascii="Segoe UI" w:hAnsi="Segoe UI" w:eastAsia="Segoe UI" w:cs="Segoe UI"/>
          <w:b/>
          <w:bCs/>
          <w:i w:val="0"/>
          <w:iCs w:val="0"/>
          <w:caps w:val="0"/>
          <w:color w:val="auto"/>
          <w:spacing w:val="0"/>
          <w:sz w:val="27"/>
          <w:szCs w:val="27"/>
        </w:rPr>
      </w:pPr>
      <w:r>
        <w:rPr>
          <w:rStyle w:val="18"/>
          <w:rFonts w:hint="eastAsia" w:ascii="Segoe UI" w:hAnsi="Segoe UI" w:cs="Segoe UI"/>
          <w:b/>
          <w:bCs/>
          <w:i w:val="0"/>
          <w:iCs w:val="0"/>
          <w:caps w:val="0"/>
          <w:color w:val="auto"/>
          <w:spacing w:val="0"/>
          <w:sz w:val="27"/>
          <w:szCs w:val="27"/>
          <w:shd w:val="clear" w:fill="FFFFFF"/>
          <w:lang w:eastAsia="zh-CN"/>
        </w:rPr>
        <w:t>（</w:t>
      </w:r>
      <w:r>
        <w:rPr>
          <w:rStyle w:val="18"/>
          <w:rFonts w:hint="eastAsia" w:ascii="Segoe UI" w:hAnsi="Segoe UI" w:cs="Segoe UI"/>
          <w:b/>
          <w:bCs/>
          <w:i w:val="0"/>
          <w:iCs w:val="0"/>
          <w:caps w:val="0"/>
          <w:color w:val="auto"/>
          <w:spacing w:val="0"/>
          <w:sz w:val="27"/>
          <w:szCs w:val="27"/>
          <w:shd w:val="clear" w:fill="FFFFFF"/>
          <w:lang w:val="en-US" w:eastAsia="zh-CN"/>
        </w:rPr>
        <w:t>一）</w:t>
      </w:r>
      <w:r>
        <w:rPr>
          <w:rStyle w:val="18"/>
          <w:rFonts w:hint="default" w:ascii="Segoe UI" w:hAnsi="Segoe UI" w:eastAsia="Segoe UI" w:cs="Segoe UI"/>
          <w:b/>
          <w:bCs/>
          <w:i w:val="0"/>
          <w:iCs w:val="0"/>
          <w:caps w:val="0"/>
          <w:color w:val="auto"/>
          <w:spacing w:val="0"/>
          <w:sz w:val="27"/>
          <w:szCs w:val="27"/>
          <w:shd w:val="clear" w:fill="FFFFFF"/>
        </w:rPr>
        <w:t>总工期阶段划分与资源配置</w:t>
      </w:r>
    </w:p>
    <w:tbl>
      <w:tblPr>
        <w:tblStyle w:val="15"/>
        <w:tblW w:w="4997" w:type="pct"/>
        <w:tblInd w:w="0" w:type="dxa"/>
        <w:tblBorders>
          <w:top w:val="none" w:color="auto" w:sz="0" w:space="0"/>
          <w:left w:val="none" w:color="auto" w:sz="0" w:space="0"/>
          <w:bottom w:val="single" w:color="D6D6D6" w:sz="6"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89"/>
        <w:gridCol w:w="1617"/>
        <w:gridCol w:w="1947"/>
        <w:gridCol w:w="2932"/>
        <w:gridCol w:w="856"/>
      </w:tblGrid>
      <w:tr w14:paraId="10290F15">
        <w:tblPrEx>
          <w:tblBorders>
            <w:top w:val="none" w:color="auto" w:sz="0" w:space="0"/>
            <w:left w:val="none" w:color="auto" w:sz="0" w:space="0"/>
            <w:bottom w:val="single" w:color="D6D6D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Header/>
        </w:trPr>
        <w:tc>
          <w:tcPr>
            <w:tcW w:w="842" w:type="pct"/>
            <w:tcBorders>
              <w:top w:val="nil"/>
              <w:bottom w:val="nil"/>
              <w:right w:val="single" w:color="D6D6D6" w:sz="6" w:space="0"/>
            </w:tcBorders>
            <w:shd w:val="clear" w:color="auto" w:fill="auto"/>
            <w:tcMar>
              <w:top w:w="135" w:type="dxa"/>
              <w:left w:w="270" w:type="dxa"/>
              <w:bottom w:w="135" w:type="dxa"/>
              <w:right w:w="270" w:type="dxa"/>
            </w:tcMar>
            <w:vAlign w:val="center"/>
          </w:tcPr>
          <w:p w14:paraId="11994ACF">
            <w:pPr>
              <w:keepNext w:val="0"/>
              <w:keepLines w:val="0"/>
              <w:widowControl/>
              <w:suppressLineNumbers w:val="0"/>
              <w:spacing w:line="300" w:lineRule="atLeast"/>
              <w:ind w:left="0" w:firstLine="0"/>
              <w:jc w:val="center"/>
              <w:rPr>
                <w:b/>
                <w:bCs/>
                <w:color w:val="auto"/>
                <w:sz w:val="21"/>
                <w:szCs w:val="21"/>
              </w:rPr>
            </w:pPr>
            <w:r>
              <w:rPr>
                <w:rFonts w:ascii="宋体" w:hAnsi="宋体" w:eastAsia="宋体" w:cs="宋体"/>
                <w:b/>
                <w:bCs/>
                <w:color w:val="auto"/>
                <w:kern w:val="0"/>
                <w:sz w:val="21"/>
                <w:szCs w:val="21"/>
                <w:lang w:val="en-US" w:eastAsia="zh-CN" w:bidi="ar"/>
              </w:rPr>
              <w:t>阶段</w:t>
            </w:r>
          </w:p>
        </w:tc>
        <w:tc>
          <w:tcPr>
            <w:tcW w:w="914" w:type="pct"/>
            <w:tcBorders>
              <w:top w:val="nil"/>
              <w:bottom w:val="nil"/>
              <w:right w:val="single" w:color="D6D6D6" w:sz="6" w:space="0"/>
            </w:tcBorders>
            <w:shd w:val="clear" w:color="auto" w:fill="auto"/>
            <w:tcMar>
              <w:top w:w="135" w:type="dxa"/>
              <w:left w:w="270" w:type="dxa"/>
              <w:bottom w:w="135" w:type="dxa"/>
              <w:right w:w="270" w:type="dxa"/>
            </w:tcMar>
            <w:vAlign w:val="center"/>
          </w:tcPr>
          <w:p w14:paraId="3015FE3A">
            <w:pPr>
              <w:keepNext w:val="0"/>
              <w:keepLines w:val="0"/>
              <w:widowControl/>
              <w:suppressLineNumbers w:val="0"/>
              <w:spacing w:line="300" w:lineRule="atLeast"/>
              <w:ind w:left="0" w:firstLine="0"/>
              <w:jc w:val="center"/>
              <w:rPr>
                <w:rFonts w:hint="default" w:eastAsiaTheme="minorEastAsia"/>
                <w:b/>
                <w:bCs/>
                <w:color w:val="auto"/>
                <w:sz w:val="21"/>
                <w:szCs w:val="21"/>
                <w:lang w:val="en-US" w:eastAsia="zh-CN"/>
              </w:rPr>
            </w:pPr>
            <w:r>
              <w:rPr>
                <w:rFonts w:hint="eastAsia"/>
                <w:b/>
                <w:bCs/>
                <w:color w:val="auto"/>
                <w:sz w:val="21"/>
                <w:szCs w:val="21"/>
                <w:lang w:val="en-US" w:eastAsia="zh-CN"/>
              </w:rPr>
              <w:t>周期</w:t>
            </w:r>
          </w:p>
        </w:tc>
        <w:tc>
          <w:tcPr>
            <w:tcW w:w="1101" w:type="pct"/>
            <w:tcBorders>
              <w:top w:val="nil"/>
              <w:bottom w:val="nil"/>
              <w:right w:val="single" w:color="D6D6D6" w:sz="6" w:space="0"/>
            </w:tcBorders>
            <w:shd w:val="clear" w:color="auto" w:fill="auto"/>
            <w:tcMar>
              <w:top w:w="135" w:type="dxa"/>
              <w:left w:w="270" w:type="dxa"/>
              <w:bottom w:w="135" w:type="dxa"/>
              <w:right w:w="270" w:type="dxa"/>
            </w:tcMar>
            <w:vAlign w:val="center"/>
          </w:tcPr>
          <w:p w14:paraId="641AE4EA">
            <w:pPr>
              <w:keepNext w:val="0"/>
              <w:keepLines w:val="0"/>
              <w:widowControl/>
              <w:suppressLineNumbers w:val="0"/>
              <w:spacing w:line="300" w:lineRule="atLeast"/>
              <w:ind w:left="0" w:firstLine="0"/>
              <w:jc w:val="center"/>
              <w:rPr>
                <w:b/>
                <w:bCs/>
                <w:color w:val="auto"/>
                <w:sz w:val="21"/>
                <w:szCs w:val="21"/>
              </w:rPr>
            </w:pPr>
            <w:r>
              <w:rPr>
                <w:rFonts w:ascii="宋体" w:hAnsi="宋体" w:eastAsia="宋体" w:cs="宋体"/>
                <w:b/>
                <w:bCs/>
                <w:color w:val="auto"/>
                <w:kern w:val="0"/>
                <w:sz w:val="21"/>
                <w:szCs w:val="21"/>
                <w:lang w:val="en-US" w:eastAsia="zh-CN" w:bidi="ar"/>
              </w:rPr>
              <w:t>团队配置</w:t>
            </w:r>
          </w:p>
        </w:tc>
        <w:tc>
          <w:tcPr>
            <w:tcW w:w="1658" w:type="pct"/>
            <w:tcBorders>
              <w:top w:val="nil"/>
              <w:bottom w:val="nil"/>
              <w:right w:val="single" w:color="D6D6D6" w:sz="6" w:space="0"/>
            </w:tcBorders>
            <w:shd w:val="clear" w:color="auto" w:fill="auto"/>
            <w:tcMar>
              <w:top w:w="135" w:type="dxa"/>
              <w:left w:w="270" w:type="dxa"/>
              <w:bottom w:w="135" w:type="dxa"/>
              <w:right w:w="270" w:type="dxa"/>
            </w:tcMar>
            <w:vAlign w:val="center"/>
          </w:tcPr>
          <w:p w14:paraId="496A0BC4">
            <w:pPr>
              <w:keepNext w:val="0"/>
              <w:keepLines w:val="0"/>
              <w:widowControl/>
              <w:suppressLineNumbers w:val="0"/>
              <w:spacing w:line="300" w:lineRule="atLeast"/>
              <w:ind w:left="0" w:firstLine="0"/>
              <w:jc w:val="center"/>
              <w:rPr>
                <w:b/>
                <w:bCs/>
                <w:color w:val="auto"/>
                <w:sz w:val="21"/>
                <w:szCs w:val="21"/>
              </w:rPr>
            </w:pPr>
            <w:r>
              <w:rPr>
                <w:rFonts w:ascii="宋体" w:hAnsi="宋体" w:eastAsia="宋体" w:cs="宋体"/>
                <w:b/>
                <w:bCs/>
                <w:color w:val="auto"/>
                <w:kern w:val="0"/>
                <w:sz w:val="21"/>
                <w:szCs w:val="21"/>
                <w:lang w:val="en-US" w:eastAsia="zh-CN" w:bidi="ar"/>
              </w:rPr>
              <w:t>关键技术投入</w:t>
            </w:r>
          </w:p>
        </w:tc>
        <w:tc>
          <w:tcPr>
            <w:tcW w:w="484" w:type="pct"/>
            <w:shd w:val="clear" w:color="auto" w:fill="auto"/>
            <w:tcMar>
              <w:top w:w="135" w:type="dxa"/>
              <w:left w:w="270" w:type="dxa"/>
              <w:bottom w:w="135" w:type="dxa"/>
              <w:right w:w="270" w:type="dxa"/>
            </w:tcMar>
            <w:vAlign w:val="center"/>
          </w:tcPr>
          <w:p w14:paraId="51B93D2C">
            <w:pPr>
              <w:keepNext w:val="0"/>
              <w:keepLines w:val="0"/>
              <w:widowControl/>
              <w:suppressLineNumbers w:val="0"/>
              <w:spacing w:line="300" w:lineRule="atLeast"/>
              <w:ind w:left="0" w:firstLine="0"/>
              <w:jc w:val="center"/>
              <w:rPr>
                <w:b/>
                <w:bCs/>
                <w:color w:val="auto"/>
                <w:sz w:val="21"/>
                <w:szCs w:val="21"/>
              </w:rPr>
            </w:pPr>
            <w:r>
              <w:rPr>
                <w:rFonts w:ascii="宋体" w:hAnsi="宋体" w:eastAsia="宋体" w:cs="宋体"/>
                <w:b/>
                <w:bCs/>
                <w:color w:val="auto"/>
                <w:kern w:val="0"/>
                <w:sz w:val="21"/>
                <w:szCs w:val="21"/>
                <w:lang w:val="en-US" w:eastAsia="zh-CN" w:bidi="ar"/>
              </w:rPr>
              <w:t>预算占比</w:t>
            </w:r>
          </w:p>
        </w:tc>
      </w:tr>
      <w:tr w14:paraId="4A9CF381">
        <w:tblPrEx>
          <w:tblBorders>
            <w:top w:val="none" w:color="auto" w:sz="0" w:space="0"/>
            <w:left w:val="none" w:color="auto" w:sz="0" w:space="0"/>
            <w:bottom w:val="single" w:color="D6D6D6" w:sz="6"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42"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4839603E">
            <w:pPr>
              <w:keepNext w:val="0"/>
              <w:keepLines w:val="0"/>
              <w:widowControl/>
              <w:suppressLineNumbers w:val="0"/>
              <w:spacing w:line="300" w:lineRule="atLeast"/>
              <w:ind w:left="0" w:firstLine="0"/>
              <w:jc w:val="left"/>
              <w:rPr>
                <w:rFonts w:hint="default"/>
                <w:color w:val="auto"/>
                <w:sz w:val="21"/>
                <w:szCs w:val="21"/>
                <w:lang w:val="en-US"/>
              </w:rPr>
            </w:pPr>
            <w:r>
              <w:rPr>
                <w:rStyle w:val="18"/>
                <w:rFonts w:ascii="宋体" w:hAnsi="宋体" w:eastAsia="宋体" w:cs="宋体"/>
                <w:b/>
                <w:bCs/>
                <w:color w:val="auto"/>
                <w:kern w:val="0"/>
                <w:sz w:val="21"/>
                <w:szCs w:val="21"/>
                <w:lang w:val="en-US" w:eastAsia="zh-CN" w:bidi="ar"/>
              </w:rPr>
              <w:t>开发部署</w:t>
            </w:r>
            <w:r>
              <w:rPr>
                <w:rStyle w:val="18"/>
                <w:rFonts w:hint="eastAsia" w:ascii="宋体" w:hAnsi="宋体" w:eastAsia="宋体" w:cs="宋体"/>
                <w:b/>
                <w:bCs/>
                <w:color w:val="auto"/>
                <w:kern w:val="0"/>
                <w:sz w:val="21"/>
                <w:szCs w:val="21"/>
                <w:lang w:val="en-US" w:eastAsia="zh-CN" w:bidi="ar"/>
              </w:rPr>
              <w:t>调试</w:t>
            </w:r>
          </w:p>
        </w:tc>
        <w:tc>
          <w:tcPr>
            <w:tcW w:w="914"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25CB0F35">
            <w:pPr>
              <w:keepNext w:val="0"/>
              <w:keepLines w:val="0"/>
              <w:widowControl/>
              <w:suppressLineNumbers w:val="0"/>
              <w:spacing w:line="300" w:lineRule="atLeast"/>
              <w:ind w:left="0" w:firstLine="0"/>
              <w:jc w:val="left"/>
              <w:rPr>
                <w:rFonts w:hint="default" w:eastAsiaTheme="minorEastAsia"/>
                <w:color w:val="auto"/>
                <w:sz w:val="21"/>
                <w:szCs w:val="21"/>
                <w:lang w:val="en-US" w:eastAsia="zh-CN"/>
              </w:rPr>
            </w:pPr>
            <w:r>
              <w:rPr>
                <w:rFonts w:hint="eastAsia"/>
                <w:color w:val="auto"/>
                <w:sz w:val="21"/>
                <w:szCs w:val="21"/>
                <w:lang w:val="en-US" w:eastAsia="zh-CN"/>
              </w:rPr>
              <w:t>3个月</w:t>
            </w:r>
          </w:p>
        </w:tc>
        <w:tc>
          <w:tcPr>
            <w:tcW w:w="1101"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7CAB937F">
            <w:pPr>
              <w:keepNext w:val="0"/>
              <w:keepLines w:val="0"/>
              <w:widowControl/>
              <w:suppressLineNumbers w:val="0"/>
              <w:spacing w:line="300" w:lineRule="atLeast"/>
              <w:ind w:left="0" w:firstLine="0"/>
              <w:jc w:val="left"/>
              <w:rPr>
                <w:color w:val="auto"/>
                <w:sz w:val="21"/>
                <w:szCs w:val="21"/>
              </w:rPr>
            </w:pPr>
            <w:r>
              <w:rPr>
                <w:rFonts w:ascii="宋体" w:hAnsi="宋体" w:eastAsia="宋体" w:cs="宋体"/>
                <w:color w:val="auto"/>
                <w:kern w:val="0"/>
                <w:sz w:val="21"/>
                <w:szCs w:val="21"/>
                <w:lang w:val="en-US" w:eastAsia="zh-CN" w:bidi="ar"/>
              </w:rPr>
              <w:t>28人（含5名架构师）</w:t>
            </w:r>
          </w:p>
        </w:tc>
        <w:tc>
          <w:tcPr>
            <w:tcW w:w="1658"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6B4A0367">
            <w:pPr>
              <w:keepNext w:val="0"/>
              <w:keepLines w:val="0"/>
              <w:widowControl/>
              <w:suppressLineNumbers w:val="0"/>
              <w:spacing w:line="300" w:lineRule="atLeast"/>
              <w:ind w:left="0" w:firstLine="0"/>
              <w:jc w:val="left"/>
              <w:rPr>
                <w:rFonts w:hint="default"/>
                <w:color w:val="auto"/>
                <w:sz w:val="21"/>
                <w:szCs w:val="21"/>
                <w:lang w:val="en-US"/>
              </w:rPr>
            </w:pPr>
            <w:r>
              <w:rPr>
                <w:rFonts w:hint="eastAsia" w:ascii="宋体" w:hAnsi="宋体" w:eastAsia="宋体" w:cs="宋体"/>
                <w:color w:val="auto"/>
                <w:kern w:val="0"/>
                <w:sz w:val="21"/>
                <w:szCs w:val="21"/>
                <w:lang w:val="en-US" w:eastAsia="zh-CN" w:bidi="ar"/>
              </w:rPr>
              <w:t>框架构造、相关接口改造，模型训练和数据处理、产品部署及调试</w:t>
            </w:r>
          </w:p>
        </w:tc>
        <w:tc>
          <w:tcPr>
            <w:tcW w:w="484" w:type="pct"/>
            <w:shd w:val="clear" w:color="auto" w:fill="FFFFFF"/>
            <w:tcMar>
              <w:top w:w="135" w:type="dxa"/>
              <w:left w:w="270" w:type="dxa"/>
              <w:bottom w:w="135" w:type="dxa"/>
              <w:right w:w="270" w:type="dxa"/>
            </w:tcMar>
            <w:vAlign w:val="center"/>
          </w:tcPr>
          <w:p w14:paraId="6602E1D7">
            <w:pPr>
              <w:keepNext w:val="0"/>
              <w:keepLines w:val="0"/>
              <w:widowControl/>
              <w:suppressLineNumbers w:val="0"/>
              <w:spacing w:line="300" w:lineRule="atLeast"/>
              <w:ind w:left="0" w:firstLine="0"/>
              <w:jc w:val="left"/>
              <w:rPr>
                <w:color w:val="auto"/>
                <w:sz w:val="21"/>
                <w:szCs w:val="21"/>
              </w:rPr>
            </w:pPr>
            <w:r>
              <w:rPr>
                <w:rFonts w:ascii="宋体" w:hAnsi="宋体" w:eastAsia="宋体" w:cs="宋体"/>
                <w:color w:val="auto"/>
                <w:kern w:val="0"/>
                <w:sz w:val="21"/>
                <w:szCs w:val="21"/>
                <w:lang w:val="en-US" w:eastAsia="zh-CN" w:bidi="ar"/>
              </w:rPr>
              <w:t>35%</w:t>
            </w:r>
          </w:p>
        </w:tc>
      </w:tr>
      <w:tr w14:paraId="56254B99">
        <w:tblPrEx>
          <w:tblBorders>
            <w:top w:val="none" w:color="auto" w:sz="0" w:space="0"/>
            <w:left w:val="none" w:color="auto" w:sz="0" w:space="0"/>
            <w:bottom w:val="single" w:color="D6D6D6" w:sz="6"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42"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7BF1D996">
            <w:pPr>
              <w:keepNext w:val="0"/>
              <w:keepLines w:val="0"/>
              <w:widowControl/>
              <w:suppressLineNumbers w:val="0"/>
              <w:spacing w:line="300" w:lineRule="atLeast"/>
              <w:ind w:left="0" w:firstLine="0"/>
              <w:jc w:val="left"/>
              <w:rPr>
                <w:rStyle w:val="18"/>
                <w:rFonts w:hint="default" w:ascii="宋体" w:hAnsi="宋体" w:eastAsia="宋体" w:cs="宋体"/>
                <w:b/>
                <w:bCs/>
                <w:color w:val="auto"/>
                <w:kern w:val="0"/>
                <w:sz w:val="21"/>
                <w:szCs w:val="21"/>
                <w:lang w:val="en-US" w:eastAsia="zh-CN" w:bidi="ar"/>
              </w:rPr>
            </w:pPr>
            <w:r>
              <w:rPr>
                <w:rStyle w:val="18"/>
                <w:rFonts w:hint="eastAsia" w:ascii="宋体" w:hAnsi="宋体" w:eastAsia="宋体" w:cs="宋体"/>
                <w:b/>
                <w:bCs/>
                <w:color w:val="auto"/>
                <w:kern w:val="0"/>
                <w:sz w:val="21"/>
                <w:szCs w:val="21"/>
                <w:lang w:val="en-US" w:eastAsia="zh-CN" w:bidi="ar"/>
              </w:rPr>
              <w:t>技术能力建设与提升</w:t>
            </w:r>
          </w:p>
        </w:tc>
        <w:tc>
          <w:tcPr>
            <w:tcW w:w="914"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53F8F599">
            <w:pPr>
              <w:keepNext w:val="0"/>
              <w:keepLines w:val="0"/>
              <w:widowControl/>
              <w:suppressLineNumbers w:val="0"/>
              <w:spacing w:line="300" w:lineRule="atLeast"/>
              <w:ind w:left="0" w:firstLine="0"/>
              <w:jc w:val="left"/>
              <w:rPr>
                <w:rFonts w:hint="eastAsia"/>
                <w:color w:val="auto"/>
                <w:sz w:val="21"/>
                <w:szCs w:val="21"/>
                <w:lang w:val="en-US" w:eastAsia="zh-CN"/>
              </w:rPr>
            </w:pPr>
            <w:r>
              <w:rPr>
                <w:rFonts w:hint="eastAsia"/>
                <w:color w:val="auto"/>
                <w:sz w:val="21"/>
                <w:szCs w:val="21"/>
                <w:lang w:val="en-US" w:eastAsia="zh-CN"/>
              </w:rPr>
              <w:t>9个月</w:t>
            </w:r>
          </w:p>
        </w:tc>
        <w:tc>
          <w:tcPr>
            <w:tcW w:w="1101"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33050D49">
            <w:pPr>
              <w:keepNext w:val="0"/>
              <w:keepLines w:val="0"/>
              <w:widowControl/>
              <w:suppressLineNumbers w:val="0"/>
              <w:spacing w:line="300" w:lineRule="atLeast"/>
              <w:ind w:left="0" w:firstLine="0"/>
              <w:jc w:val="left"/>
              <w:rPr>
                <w:rFonts w:ascii="宋体" w:hAnsi="宋体" w:eastAsia="宋体" w:cs="宋体"/>
                <w:color w:val="auto"/>
                <w:kern w:val="0"/>
                <w:sz w:val="21"/>
                <w:szCs w:val="21"/>
                <w:lang w:val="en-US" w:eastAsia="zh-CN" w:bidi="ar"/>
              </w:rPr>
            </w:pPr>
            <w:r>
              <w:rPr>
                <w:rFonts w:ascii="宋体" w:hAnsi="宋体" w:eastAsia="宋体" w:cs="宋体"/>
                <w:color w:val="auto"/>
                <w:kern w:val="0"/>
                <w:sz w:val="21"/>
                <w:szCs w:val="21"/>
                <w:lang w:val="en-US" w:eastAsia="zh-CN" w:bidi="ar"/>
              </w:rPr>
              <w:t>15人（含3名PhD）</w:t>
            </w:r>
          </w:p>
        </w:tc>
        <w:tc>
          <w:tcPr>
            <w:tcW w:w="1658"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134FBEC2">
            <w:pPr>
              <w:keepNext w:val="0"/>
              <w:keepLines w:val="0"/>
              <w:widowControl/>
              <w:suppressLineNumbers w:val="0"/>
              <w:spacing w:line="300" w:lineRule="atLeast"/>
              <w:ind w:left="0" w:firstLine="0"/>
              <w:jc w:val="left"/>
              <w:rPr>
                <w:rFonts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探索医学大模型的应用场景，推动医学与信息技术的实际应用</w:t>
            </w:r>
          </w:p>
        </w:tc>
        <w:tc>
          <w:tcPr>
            <w:tcW w:w="484" w:type="pct"/>
            <w:shd w:val="clear" w:color="auto" w:fill="FFFFFF"/>
            <w:tcMar>
              <w:top w:w="135" w:type="dxa"/>
              <w:left w:w="270" w:type="dxa"/>
              <w:bottom w:w="135" w:type="dxa"/>
              <w:right w:w="270" w:type="dxa"/>
            </w:tcMar>
            <w:vAlign w:val="center"/>
          </w:tcPr>
          <w:p w14:paraId="44A31B5D">
            <w:pPr>
              <w:keepNext w:val="0"/>
              <w:keepLines w:val="0"/>
              <w:widowControl/>
              <w:suppressLineNumbers w:val="0"/>
              <w:spacing w:line="300" w:lineRule="atLeast"/>
              <w:ind w:left="0" w:firstLine="0"/>
              <w:jc w:val="left"/>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40%</w:t>
            </w:r>
          </w:p>
        </w:tc>
      </w:tr>
      <w:tr w14:paraId="2C61AFB2">
        <w:tblPrEx>
          <w:tblBorders>
            <w:top w:val="none" w:color="auto" w:sz="0" w:space="0"/>
            <w:left w:val="none" w:color="auto" w:sz="0" w:space="0"/>
            <w:bottom w:val="single" w:color="D6D6D6" w:sz="6"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42"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3818D64F">
            <w:pPr>
              <w:keepNext w:val="0"/>
              <w:keepLines w:val="0"/>
              <w:widowControl/>
              <w:suppressLineNumbers w:val="0"/>
              <w:spacing w:line="300" w:lineRule="atLeast"/>
              <w:ind w:left="0" w:firstLine="0"/>
              <w:jc w:val="left"/>
              <w:rPr>
                <w:rFonts w:hint="default"/>
                <w:color w:val="auto"/>
                <w:sz w:val="21"/>
                <w:szCs w:val="21"/>
                <w:lang w:val="en-US"/>
              </w:rPr>
            </w:pPr>
            <w:r>
              <w:rPr>
                <w:rStyle w:val="18"/>
                <w:rFonts w:hint="eastAsia" w:ascii="宋体" w:hAnsi="宋体" w:eastAsia="宋体" w:cs="宋体"/>
                <w:b/>
                <w:bCs/>
                <w:color w:val="auto"/>
                <w:kern w:val="0"/>
                <w:sz w:val="21"/>
                <w:szCs w:val="21"/>
                <w:lang w:val="en-US" w:eastAsia="zh-CN" w:bidi="ar"/>
              </w:rPr>
              <w:t>科研合作</w:t>
            </w:r>
          </w:p>
        </w:tc>
        <w:tc>
          <w:tcPr>
            <w:tcW w:w="914"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7EF5EFD9">
            <w:pPr>
              <w:keepNext w:val="0"/>
              <w:keepLines w:val="0"/>
              <w:widowControl/>
              <w:suppressLineNumbers w:val="0"/>
              <w:spacing w:line="300" w:lineRule="atLeast"/>
              <w:ind w:left="0" w:firstLine="0"/>
              <w:jc w:val="left"/>
              <w:rPr>
                <w:rFonts w:hint="default" w:eastAsiaTheme="minorEastAsia"/>
                <w:color w:val="auto"/>
                <w:sz w:val="21"/>
                <w:szCs w:val="21"/>
                <w:lang w:val="en-US" w:eastAsia="zh-CN"/>
              </w:rPr>
            </w:pPr>
            <w:r>
              <w:rPr>
                <w:rFonts w:hint="eastAsia"/>
                <w:color w:val="auto"/>
                <w:sz w:val="21"/>
                <w:szCs w:val="21"/>
                <w:lang w:val="en-US" w:eastAsia="zh-CN"/>
              </w:rPr>
              <w:t>12个月</w:t>
            </w:r>
          </w:p>
        </w:tc>
        <w:tc>
          <w:tcPr>
            <w:tcW w:w="1101"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17097D45">
            <w:pPr>
              <w:keepNext w:val="0"/>
              <w:keepLines w:val="0"/>
              <w:widowControl/>
              <w:suppressLineNumbers w:val="0"/>
              <w:spacing w:line="300" w:lineRule="atLeast"/>
              <w:ind w:left="0" w:firstLine="0"/>
              <w:jc w:val="left"/>
              <w:rPr>
                <w:color w:val="auto"/>
                <w:sz w:val="21"/>
                <w:szCs w:val="21"/>
              </w:rPr>
            </w:pPr>
            <w:r>
              <w:rPr>
                <w:rFonts w:ascii="宋体" w:hAnsi="宋体" w:eastAsia="宋体" w:cs="宋体"/>
                <w:color w:val="auto"/>
                <w:kern w:val="0"/>
                <w:sz w:val="21"/>
                <w:szCs w:val="21"/>
                <w:lang w:val="en-US" w:eastAsia="zh-CN" w:bidi="ar"/>
              </w:rPr>
              <w:t>10人（含专家</w:t>
            </w:r>
            <w:r>
              <w:rPr>
                <w:rFonts w:hint="eastAsia" w:ascii="宋体" w:hAnsi="宋体" w:eastAsia="宋体" w:cs="宋体"/>
                <w:color w:val="auto"/>
                <w:kern w:val="0"/>
                <w:sz w:val="21"/>
                <w:szCs w:val="21"/>
                <w:lang w:val="en-US" w:eastAsia="zh-CN" w:bidi="ar"/>
              </w:rPr>
              <w:t>学者</w:t>
            </w:r>
            <w:r>
              <w:rPr>
                <w:rFonts w:ascii="宋体" w:hAnsi="宋体" w:eastAsia="宋体" w:cs="宋体"/>
                <w:color w:val="auto"/>
                <w:kern w:val="0"/>
                <w:sz w:val="21"/>
                <w:szCs w:val="21"/>
                <w:lang w:val="en-US" w:eastAsia="zh-CN" w:bidi="ar"/>
              </w:rPr>
              <w:t>）</w:t>
            </w:r>
          </w:p>
        </w:tc>
        <w:tc>
          <w:tcPr>
            <w:tcW w:w="1658"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31694F2C">
            <w:pPr>
              <w:keepNext w:val="0"/>
              <w:keepLines w:val="0"/>
              <w:widowControl/>
              <w:suppressLineNumbers w:val="0"/>
              <w:spacing w:line="300" w:lineRule="atLeast"/>
              <w:ind w:left="0" w:firstLine="0"/>
              <w:jc w:val="left"/>
              <w:rPr>
                <w:color w:val="auto"/>
                <w:sz w:val="21"/>
                <w:szCs w:val="21"/>
              </w:rPr>
            </w:pPr>
            <w:r>
              <w:rPr>
                <w:rFonts w:hint="eastAsia" w:ascii="宋体" w:hAnsi="宋体" w:eastAsia="宋体" w:cs="宋体"/>
                <w:color w:val="auto"/>
                <w:kern w:val="0"/>
                <w:sz w:val="21"/>
                <w:szCs w:val="21"/>
                <w:lang w:val="en-US" w:eastAsia="zh-CN" w:bidi="ar"/>
              </w:rPr>
              <w:t>研究、申报各级科研立项、软件项目应用开发及成果转化</w:t>
            </w:r>
          </w:p>
        </w:tc>
        <w:tc>
          <w:tcPr>
            <w:tcW w:w="484" w:type="pct"/>
            <w:shd w:val="clear" w:color="auto" w:fill="FFFFFF"/>
            <w:tcMar>
              <w:top w:w="135" w:type="dxa"/>
              <w:left w:w="270" w:type="dxa"/>
              <w:bottom w:w="135" w:type="dxa"/>
              <w:right w:w="270" w:type="dxa"/>
            </w:tcMar>
            <w:vAlign w:val="center"/>
          </w:tcPr>
          <w:p w14:paraId="69E6874A">
            <w:pPr>
              <w:keepNext w:val="0"/>
              <w:keepLines w:val="0"/>
              <w:widowControl/>
              <w:suppressLineNumbers w:val="0"/>
              <w:spacing w:line="300" w:lineRule="atLeast"/>
              <w:ind w:left="0" w:firstLine="0"/>
              <w:jc w:val="left"/>
              <w:rPr>
                <w:color w:val="auto"/>
                <w:sz w:val="21"/>
                <w:szCs w:val="21"/>
              </w:rPr>
            </w:pPr>
            <w:r>
              <w:rPr>
                <w:rFonts w:hint="eastAsia" w:ascii="宋体" w:hAnsi="宋体" w:eastAsia="宋体" w:cs="宋体"/>
                <w:color w:val="auto"/>
                <w:kern w:val="0"/>
                <w:sz w:val="21"/>
                <w:szCs w:val="21"/>
                <w:lang w:val="en-US" w:eastAsia="zh-CN" w:bidi="ar"/>
              </w:rPr>
              <w:t>2</w:t>
            </w:r>
            <w:r>
              <w:rPr>
                <w:rFonts w:ascii="宋体" w:hAnsi="宋体" w:eastAsia="宋体" w:cs="宋体"/>
                <w:color w:val="auto"/>
                <w:kern w:val="0"/>
                <w:sz w:val="21"/>
                <w:szCs w:val="21"/>
                <w:lang w:val="en-US" w:eastAsia="zh-CN" w:bidi="ar"/>
              </w:rPr>
              <w:t>0%</w:t>
            </w:r>
          </w:p>
        </w:tc>
      </w:tr>
      <w:tr w14:paraId="41E6C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42"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40D5DA98">
            <w:pPr>
              <w:keepNext w:val="0"/>
              <w:keepLines w:val="0"/>
              <w:widowControl/>
              <w:suppressLineNumbers w:val="0"/>
              <w:spacing w:line="300" w:lineRule="atLeast"/>
              <w:ind w:left="0" w:firstLine="0"/>
              <w:jc w:val="left"/>
              <w:rPr>
                <w:color w:val="auto"/>
                <w:sz w:val="21"/>
                <w:szCs w:val="21"/>
              </w:rPr>
            </w:pPr>
            <w:r>
              <w:rPr>
                <w:rStyle w:val="18"/>
                <w:rFonts w:ascii="宋体" w:hAnsi="宋体" w:eastAsia="宋体" w:cs="宋体"/>
                <w:b/>
                <w:bCs/>
                <w:color w:val="auto"/>
                <w:kern w:val="0"/>
                <w:sz w:val="21"/>
                <w:szCs w:val="21"/>
                <w:lang w:val="en-US" w:eastAsia="zh-CN" w:bidi="ar"/>
              </w:rPr>
              <w:t>运维期</w:t>
            </w:r>
          </w:p>
        </w:tc>
        <w:tc>
          <w:tcPr>
            <w:tcW w:w="914"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5151A84C">
            <w:pPr>
              <w:keepNext w:val="0"/>
              <w:keepLines w:val="0"/>
              <w:widowControl/>
              <w:suppressLineNumbers w:val="0"/>
              <w:spacing w:line="300" w:lineRule="atLeast"/>
              <w:ind w:left="0" w:firstLine="0"/>
              <w:jc w:val="left"/>
              <w:rPr>
                <w:rFonts w:hint="default" w:eastAsiaTheme="minorEastAsia"/>
                <w:color w:val="auto"/>
                <w:sz w:val="21"/>
                <w:szCs w:val="21"/>
                <w:lang w:val="en-US" w:eastAsia="zh-CN"/>
              </w:rPr>
            </w:pPr>
            <w:r>
              <w:rPr>
                <w:rFonts w:hint="eastAsia"/>
                <w:color w:val="auto"/>
                <w:sz w:val="21"/>
                <w:szCs w:val="21"/>
                <w:lang w:val="en-US" w:eastAsia="zh-CN"/>
              </w:rPr>
              <w:t>持续到2年周期结束</w:t>
            </w:r>
          </w:p>
        </w:tc>
        <w:tc>
          <w:tcPr>
            <w:tcW w:w="1101"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4BF7106E">
            <w:pPr>
              <w:keepNext w:val="0"/>
              <w:keepLines w:val="0"/>
              <w:widowControl/>
              <w:suppressLineNumbers w:val="0"/>
              <w:spacing w:line="300" w:lineRule="atLeast"/>
              <w:ind w:left="0" w:firstLine="0"/>
              <w:jc w:val="left"/>
              <w:rPr>
                <w:rFonts w:hint="default"/>
                <w:color w:val="auto"/>
                <w:sz w:val="21"/>
                <w:szCs w:val="21"/>
                <w:lang w:val="en-US"/>
              </w:rPr>
            </w:pPr>
            <w:r>
              <w:rPr>
                <w:rFonts w:hint="eastAsia" w:ascii="宋体" w:hAnsi="宋体" w:eastAsia="宋体" w:cs="宋体"/>
                <w:color w:val="auto"/>
                <w:kern w:val="0"/>
                <w:sz w:val="21"/>
                <w:szCs w:val="21"/>
                <w:lang w:val="en-US" w:eastAsia="zh-CN" w:bidi="ar"/>
              </w:rPr>
              <w:t>驻场≥1人</w:t>
            </w:r>
          </w:p>
        </w:tc>
        <w:tc>
          <w:tcPr>
            <w:tcW w:w="1658"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0DC2AC1A">
            <w:pPr>
              <w:keepNext w:val="0"/>
              <w:keepLines w:val="0"/>
              <w:widowControl/>
              <w:suppressLineNumbers w:val="0"/>
              <w:spacing w:line="300" w:lineRule="atLeast"/>
              <w:ind w:left="0" w:firstLine="0"/>
              <w:jc w:val="left"/>
              <w:rPr>
                <w:color w:val="auto"/>
                <w:sz w:val="21"/>
                <w:szCs w:val="21"/>
              </w:rPr>
            </w:pPr>
            <w:r>
              <w:rPr>
                <w:rFonts w:ascii="宋体" w:hAnsi="宋体" w:eastAsia="宋体" w:cs="宋体"/>
                <w:color w:val="auto"/>
                <w:kern w:val="0"/>
                <w:sz w:val="21"/>
                <w:szCs w:val="21"/>
                <w:lang w:val="en-US" w:eastAsia="zh-CN" w:bidi="ar"/>
              </w:rPr>
              <w:t>自动化监控平台、临床决策路径动态调优</w:t>
            </w:r>
          </w:p>
        </w:tc>
        <w:tc>
          <w:tcPr>
            <w:tcW w:w="484" w:type="pct"/>
            <w:shd w:val="clear" w:color="auto" w:fill="FFFFFF"/>
            <w:tcMar>
              <w:top w:w="135" w:type="dxa"/>
              <w:left w:w="270" w:type="dxa"/>
              <w:bottom w:w="135" w:type="dxa"/>
              <w:right w:w="270" w:type="dxa"/>
            </w:tcMar>
            <w:vAlign w:val="center"/>
          </w:tcPr>
          <w:p w14:paraId="7795F7AF">
            <w:pPr>
              <w:keepNext w:val="0"/>
              <w:keepLines w:val="0"/>
              <w:widowControl/>
              <w:suppressLineNumbers w:val="0"/>
              <w:spacing w:line="300" w:lineRule="atLeast"/>
              <w:ind w:left="0" w:firstLine="0"/>
              <w:jc w:val="left"/>
              <w:rPr>
                <w:color w:val="auto"/>
                <w:sz w:val="21"/>
                <w:szCs w:val="21"/>
              </w:rPr>
            </w:pPr>
            <w:r>
              <w:rPr>
                <w:rFonts w:ascii="宋体" w:hAnsi="宋体" w:eastAsia="宋体" w:cs="宋体"/>
                <w:color w:val="auto"/>
                <w:kern w:val="0"/>
                <w:sz w:val="21"/>
                <w:szCs w:val="21"/>
                <w:lang w:val="en-US" w:eastAsia="zh-CN" w:bidi="ar"/>
              </w:rPr>
              <w:t>5%</w:t>
            </w:r>
          </w:p>
        </w:tc>
      </w:tr>
    </w:tbl>
    <w:p w14:paraId="32A5037A">
      <w:pPr>
        <w:rPr>
          <w:rStyle w:val="18"/>
          <w:rFonts w:hint="eastAsia" w:ascii="Segoe UI" w:hAnsi="Segoe UI" w:cs="Segoe UI"/>
          <w:b/>
          <w:bCs/>
          <w:i w:val="0"/>
          <w:iCs w:val="0"/>
          <w:caps w:val="0"/>
          <w:color w:val="auto"/>
          <w:spacing w:val="0"/>
          <w:sz w:val="27"/>
          <w:szCs w:val="27"/>
          <w:shd w:val="clear" w:fill="FFFFFF"/>
          <w:lang w:val="en-US" w:eastAsia="zh-CN"/>
        </w:rPr>
      </w:pPr>
      <w:r>
        <w:rPr>
          <w:rStyle w:val="18"/>
          <w:rFonts w:hint="eastAsia" w:ascii="Segoe UI" w:hAnsi="Segoe UI" w:cs="Segoe UI"/>
          <w:b/>
          <w:bCs/>
          <w:i w:val="0"/>
          <w:iCs w:val="0"/>
          <w:caps w:val="0"/>
          <w:color w:val="auto"/>
          <w:spacing w:val="0"/>
          <w:sz w:val="27"/>
          <w:szCs w:val="27"/>
          <w:shd w:val="clear" w:fill="FFFFFF"/>
          <w:lang w:eastAsia="zh-CN"/>
        </w:rPr>
        <w:t>（</w:t>
      </w:r>
      <w:r>
        <w:rPr>
          <w:rStyle w:val="18"/>
          <w:rFonts w:hint="eastAsia" w:ascii="Segoe UI" w:hAnsi="Segoe UI" w:cs="Segoe UI"/>
          <w:b/>
          <w:bCs/>
          <w:i w:val="0"/>
          <w:iCs w:val="0"/>
          <w:caps w:val="0"/>
          <w:color w:val="auto"/>
          <w:spacing w:val="0"/>
          <w:sz w:val="27"/>
          <w:szCs w:val="27"/>
          <w:shd w:val="clear" w:fill="FFFFFF"/>
          <w:lang w:val="en-US" w:eastAsia="zh-CN"/>
        </w:rPr>
        <w:t>二）工作量与费用总控表</w:t>
      </w:r>
    </w:p>
    <w:tbl>
      <w:tblPr>
        <w:tblStyle w:val="15"/>
        <w:tblW w:w="4993" w:type="pct"/>
        <w:tblInd w:w="0" w:type="dxa"/>
        <w:tblBorders>
          <w:top w:val="none" w:color="auto" w:sz="0" w:space="0"/>
          <w:left w:val="none" w:color="auto" w:sz="0" w:space="0"/>
          <w:bottom w:val="single" w:color="D6D6D6" w:sz="6"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74"/>
        <w:gridCol w:w="1119"/>
        <w:gridCol w:w="1483"/>
        <w:gridCol w:w="1471"/>
        <w:gridCol w:w="1730"/>
        <w:gridCol w:w="2057"/>
      </w:tblGrid>
      <w:tr w14:paraId="103D4E07">
        <w:tblPrEx>
          <w:tblBorders>
            <w:top w:val="none" w:color="auto" w:sz="0" w:space="0"/>
            <w:left w:val="none" w:color="auto" w:sz="0" w:space="0"/>
            <w:bottom w:val="single" w:color="D6D6D6" w:sz="6"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blHeader/>
        </w:trPr>
        <w:tc>
          <w:tcPr>
            <w:tcW w:w="1184" w:type="pct"/>
            <w:gridSpan w:val="2"/>
            <w:tcBorders>
              <w:top w:val="nil"/>
              <w:bottom w:val="nil"/>
              <w:right w:val="single" w:color="D6D6D6" w:sz="6" w:space="0"/>
            </w:tcBorders>
            <w:shd w:val="clear" w:color="auto" w:fill="FFFFFF"/>
            <w:tcMar>
              <w:top w:w="135" w:type="dxa"/>
              <w:left w:w="270" w:type="dxa"/>
              <w:bottom w:w="135" w:type="dxa"/>
              <w:right w:w="270" w:type="dxa"/>
            </w:tcMar>
            <w:vAlign w:val="center"/>
          </w:tcPr>
          <w:p w14:paraId="459DE22A">
            <w:pPr>
              <w:keepNext w:val="0"/>
              <w:keepLines w:val="0"/>
              <w:widowControl/>
              <w:suppressLineNumbers w:val="0"/>
              <w:spacing w:line="300" w:lineRule="atLeast"/>
              <w:ind w:left="0" w:firstLine="0"/>
              <w:jc w:val="center"/>
              <w:rPr>
                <w:rFonts w:ascii="Segoe UI" w:hAnsi="Segoe UI" w:eastAsia="Segoe UI" w:cs="Segoe UI"/>
                <w:b/>
                <w:bCs/>
                <w:i w:val="0"/>
                <w:iCs w:val="0"/>
                <w:caps w:val="0"/>
                <w:color w:val="auto"/>
                <w:spacing w:val="0"/>
                <w:sz w:val="21"/>
                <w:szCs w:val="21"/>
              </w:rPr>
            </w:pPr>
            <w:r>
              <w:rPr>
                <w:rFonts w:hint="default" w:ascii="Segoe UI" w:hAnsi="Segoe UI" w:eastAsia="Segoe UI" w:cs="Segoe UI"/>
                <w:b/>
                <w:bCs/>
                <w:i w:val="0"/>
                <w:iCs w:val="0"/>
                <w:caps w:val="0"/>
                <w:color w:val="auto"/>
                <w:spacing w:val="0"/>
                <w:kern w:val="0"/>
                <w:sz w:val="21"/>
                <w:szCs w:val="21"/>
                <w:lang w:val="en-US" w:eastAsia="zh-CN" w:bidi="ar"/>
              </w:rPr>
              <w:t>阶段</w:t>
            </w:r>
          </w:p>
        </w:tc>
        <w:tc>
          <w:tcPr>
            <w:tcW w:w="839"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3EC86F7D">
            <w:pPr>
              <w:keepNext w:val="0"/>
              <w:keepLines w:val="0"/>
              <w:widowControl/>
              <w:suppressLineNumbers w:val="0"/>
              <w:spacing w:line="300" w:lineRule="atLeast"/>
              <w:ind w:left="0" w:firstLine="0"/>
              <w:jc w:val="center"/>
              <w:rPr>
                <w:rFonts w:hint="default" w:ascii="Segoe UI" w:hAnsi="Segoe UI" w:eastAsia="Segoe UI" w:cs="Segoe UI"/>
                <w:b/>
                <w:bCs/>
                <w:i w:val="0"/>
                <w:iCs w:val="0"/>
                <w:caps w:val="0"/>
                <w:color w:val="auto"/>
                <w:spacing w:val="0"/>
                <w:sz w:val="21"/>
                <w:szCs w:val="21"/>
              </w:rPr>
            </w:pPr>
            <w:r>
              <w:rPr>
                <w:rFonts w:hint="default" w:ascii="Segoe UI" w:hAnsi="Segoe UI" w:eastAsia="Segoe UI" w:cs="Segoe UI"/>
                <w:b/>
                <w:bCs/>
                <w:i w:val="0"/>
                <w:iCs w:val="0"/>
                <w:caps w:val="0"/>
                <w:color w:val="auto"/>
                <w:spacing w:val="0"/>
                <w:kern w:val="0"/>
                <w:sz w:val="21"/>
                <w:szCs w:val="21"/>
                <w:lang w:val="en-US" w:eastAsia="zh-CN" w:bidi="ar"/>
              </w:rPr>
              <w:t>工期</w:t>
            </w:r>
          </w:p>
        </w:tc>
        <w:tc>
          <w:tcPr>
            <w:tcW w:w="832"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73DDE948">
            <w:pPr>
              <w:keepNext w:val="0"/>
              <w:keepLines w:val="0"/>
              <w:widowControl/>
              <w:suppressLineNumbers w:val="0"/>
              <w:spacing w:line="300" w:lineRule="atLeast"/>
              <w:ind w:left="0" w:firstLine="0"/>
              <w:jc w:val="center"/>
              <w:rPr>
                <w:rFonts w:hint="default" w:ascii="Segoe UI" w:hAnsi="Segoe UI" w:eastAsia="Segoe UI" w:cs="Segoe UI"/>
                <w:b/>
                <w:bCs/>
                <w:i w:val="0"/>
                <w:iCs w:val="0"/>
                <w:caps w:val="0"/>
                <w:color w:val="auto"/>
                <w:spacing w:val="0"/>
                <w:sz w:val="21"/>
                <w:szCs w:val="21"/>
              </w:rPr>
            </w:pPr>
            <w:r>
              <w:rPr>
                <w:rFonts w:hint="default" w:ascii="Segoe UI" w:hAnsi="Segoe UI" w:eastAsia="Segoe UI" w:cs="Segoe UI"/>
                <w:b/>
                <w:bCs/>
                <w:i w:val="0"/>
                <w:iCs w:val="0"/>
                <w:caps w:val="0"/>
                <w:color w:val="auto"/>
                <w:spacing w:val="0"/>
                <w:kern w:val="0"/>
                <w:sz w:val="21"/>
                <w:szCs w:val="21"/>
                <w:lang w:val="en-US" w:eastAsia="zh-CN" w:bidi="ar"/>
              </w:rPr>
              <w:t>人数</w:t>
            </w:r>
          </w:p>
        </w:tc>
        <w:tc>
          <w:tcPr>
            <w:tcW w:w="979"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4150331C">
            <w:pPr>
              <w:keepNext w:val="0"/>
              <w:keepLines w:val="0"/>
              <w:widowControl/>
              <w:suppressLineNumbers w:val="0"/>
              <w:spacing w:line="300" w:lineRule="atLeast"/>
              <w:ind w:left="0" w:firstLine="0"/>
              <w:jc w:val="center"/>
              <w:rPr>
                <w:rFonts w:hint="default" w:ascii="Segoe UI" w:hAnsi="Segoe UI" w:eastAsia="Segoe UI" w:cs="Segoe UI"/>
                <w:b/>
                <w:bCs/>
                <w:i w:val="0"/>
                <w:iCs w:val="0"/>
                <w:caps w:val="0"/>
                <w:color w:val="auto"/>
                <w:spacing w:val="0"/>
                <w:sz w:val="21"/>
                <w:szCs w:val="21"/>
              </w:rPr>
            </w:pPr>
            <w:r>
              <w:rPr>
                <w:rFonts w:hint="default" w:ascii="Segoe UI" w:hAnsi="Segoe UI" w:eastAsia="Segoe UI" w:cs="Segoe UI"/>
                <w:b/>
                <w:bCs/>
                <w:i w:val="0"/>
                <w:iCs w:val="0"/>
                <w:caps w:val="0"/>
                <w:color w:val="auto"/>
                <w:spacing w:val="0"/>
                <w:kern w:val="0"/>
                <w:sz w:val="21"/>
                <w:szCs w:val="21"/>
                <w:lang w:val="en-US" w:eastAsia="zh-CN" w:bidi="ar"/>
              </w:rPr>
              <w:t>总人天</w:t>
            </w:r>
          </w:p>
        </w:tc>
        <w:tc>
          <w:tcPr>
            <w:tcW w:w="1164" w:type="pct"/>
            <w:shd w:val="clear" w:color="auto" w:fill="FFFFFF"/>
            <w:tcMar>
              <w:top w:w="135" w:type="dxa"/>
              <w:left w:w="270" w:type="dxa"/>
              <w:bottom w:w="135" w:type="dxa"/>
              <w:right w:w="270" w:type="dxa"/>
            </w:tcMar>
            <w:vAlign w:val="center"/>
          </w:tcPr>
          <w:p w14:paraId="090561DD">
            <w:pPr>
              <w:keepNext w:val="0"/>
              <w:keepLines w:val="0"/>
              <w:widowControl/>
              <w:suppressLineNumbers w:val="0"/>
              <w:spacing w:line="300" w:lineRule="atLeast"/>
              <w:ind w:left="0" w:firstLine="0"/>
              <w:jc w:val="center"/>
              <w:rPr>
                <w:rFonts w:hint="default" w:ascii="Segoe UI" w:hAnsi="Segoe UI" w:eastAsia="Segoe UI" w:cs="Segoe UI"/>
                <w:b/>
                <w:bCs/>
                <w:i w:val="0"/>
                <w:iCs w:val="0"/>
                <w:caps w:val="0"/>
                <w:color w:val="auto"/>
                <w:spacing w:val="0"/>
                <w:sz w:val="21"/>
                <w:szCs w:val="21"/>
              </w:rPr>
            </w:pPr>
            <w:r>
              <w:rPr>
                <w:rFonts w:hint="default" w:ascii="Segoe UI" w:hAnsi="Segoe UI" w:eastAsia="Segoe UI" w:cs="Segoe UI"/>
                <w:b/>
                <w:bCs/>
                <w:i w:val="0"/>
                <w:iCs w:val="0"/>
                <w:caps w:val="0"/>
                <w:color w:val="auto"/>
                <w:spacing w:val="0"/>
                <w:kern w:val="0"/>
                <w:sz w:val="21"/>
                <w:szCs w:val="21"/>
                <w:lang w:val="en-US" w:eastAsia="zh-CN" w:bidi="ar"/>
              </w:rPr>
              <w:t>关键交付物</w:t>
            </w:r>
          </w:p>
        </w:tc>
      </w:tr>
      <w:tr w14:paraId="25A6E69F">
        <w:tblPrEx>
          <w:tblBorders>
            <w:top w:val="none" w:color="auto" w:sz="0" w:space="0"/>
            <w:left w:val="none" w:color="auto" w:sz="0" w:space="0"/>
            <w:bottom w:val="single" w:color="D6D6D6" w:sz="6"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551" w:type="pct"/>
            <w:vMerge w:val="restart"/>
            <w:tcBorders>
              <w:top w:val="nil"/>
              <w:right w:val="single" w:color="D6D6D6" w:sz="6" w:space="0"/>
            </w:tcBorders>
            <w:shd w:val="clear" w:color="auto" w:fill="FFFFFF"/>
            <w:tcMar>
              <w:top w:w="135" w:type="dxa"/>
              <w:left w:w="270" w:type="dxa"/>
              <w:bottom w:w="135" w:type="dxa"/>
              <w:right w:w="270" w:type="dxa"/>
            </w:tcMar>
            <w:vAlign w:val="center"/>
          </w:tcPr>
          <w:p w14:paraId="1BFAA35B">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kern w:val="0"/>
                <w:sz w:val="21"/>
                <w:szCs w:val="21"/>
                <w:lang w:val="en-US" w:eastAsia="zh-CN" w:bidi="ar"/>
              </w:rPr>
            </w:pPr>
            <w:r>
              <w:rPr>
                <w:rFonts w:hint="eastAsia" w:ascii="Segoe UI" w:hAnsi="Segoe UI" w:eastAsia="Segoe UI" w:cs="Segoe UI"/>
                <w:i w:val="0"/>
                <w:iCs w:val="0"/>
                <w:caps w:val="0"/>
                <w:color w:val="auto"/>
                <w:spacing w:val="0"/>
                <w:kern w:val="0"/>
                <w:sz w:val="21"/>
                <w:szCs w:val="21"/>
                <w:lang w:val="en-US" w:eastAsia="zh-CN" w:bidi="ar"/>
              </w:rPr>
              <w:t>开发部署联调期（3个月）</w:t>
            </w:r>
          </w:p>
        </w:tc>
        <w:tc>
          <w:tcPr>
            <w:tcW w:w="633"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52D01131">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default" w:ascii="Segoe UI" w:hAnsi="Segoe UI" w:eastAsia="Segoe UI" w:cs="Segoe UI"/>
                <w:i w:val="0"/>
                <w:iCs w:val="0"/>
                <w:caps w:val="0"/>
                <w:color w:val="auto"/>
                <w:spacing w:val="0"/>
                <w:kern w:val="0"/>
                <w:sz w:val="21"/>
                <w:szCs w:val="21"/>
                <w:lang w:val="en-US" w:eastAsia="zh-CN" w:bidi="ar"/>
              </w:rPr>
              <w:t>需求分析</w:t>
            </w:r>
          </w:p>
        </w:tc>
        <w:tc>
          <w:tcPr>
            <w:tcW w:w="839"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0DEEF53B">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eastAsia" w:ascii="Segoe UI" w:hAnsi="Segoe UI" w:eastAsia="Segoe UI" w:cs="Segoe UI"/>
                <w:i w:val="0"/>
                <w:iCs w:val="0"/>
                <w:caps w:val="0"/>
                <w:color w:val="auto"/>
                <w:spacing w:val="0"/>
                <w:kern w:val="0"/>
                <w:sz w:val="21"/>
                <w:szCs w:val="21"/>
                <w:lang w:val="en-US" w:eastAsia="zh-CN" w:bidi="ar"/>
              </w:rPr>
              <w:t>8</w:t>
            </w:r>
            <w:r>
              <w:rPr>
                <w:rFonts w:hint="default" w:ascii="Segoe UI" w:hAnsi="Segoe UI" w:eastAsia="Segoe UI" w:cs="Segoe UI"/>
                <w:i w:val="0"/>
                <w:iCs w:val="0"/>
                <w:caps w:val="0"/>
                <w:color w:val="auto"/>
                <w:spacing w:val="0"/>
                <w:kern w:val="0"/>
                <w:sz w:val="21"/>
                <w:szCs w:val="21"/>
                <w:lang w:val="en-US" w:eastAsia="zh-CN" w:bidi="ar"/>
              </w:rPr>
              <w:t>天</w:t>
            </w:r>
          </w:p>
        </w:tc>
        <w:tc>
          <w:tcPr>
            <w:tcW w:w="832"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70E35B53">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eastAsia" w:ascii="Segoe UI" w:hAnsi="Segoe UI" w:eastAsia="Segoe UI" w:cs="Segoe UI"/>
                <w:i w:val="0"/>
                <w:iCs w:val="0"/>
                <w:caps w:val="0"/>
                <w:color w:val="auto"/>
                <w:spacing w:val="0"/>
                <w:kern w:val="0"/>
                <w:sz w:val="21"/>
                <w:szCs w:val="21"/>
                <w:lang w:val="en-US" w:eastAsia="zh-CN" w:bidi="ar"/>
              </w:rPr>
              <w:t>7</w:t>
            </w:r>
            <w:r>
              <w:rPr>
                <w:rFonts w:hint="default" w:ascii="Segoe UI" w:hAnsi="Segoe UI" w:eastAsia="Segoe UI" w:cs="Segoe UI"/>
                <w:i w:val="0"/>
                <w:iCs w:val="0"/>
                <w:caps w:val="0"/>
                <w:color w:val="auto"/>
                <w:spacing w:val="0"/>
                <w:kern w:val="0"/>
                <w:sz w:val="21"/>
                <w:szCs w:val="21"/>
                <w:lang w:val="en-US" w:eastAsia="zh-CN" w:bidi="ar"/>
              </w:rPr>
              <w:t>人</w:t>
            </w:r>
          </w:p>
        </w:tc>
        <w:tc>
          <w:tcPr>
            <w:tcW w:w="979"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3C3A185A">
            <w:pPr>
              <w:keepNext w:val="0"/>
              <w:keepLines w:val="0"/>
              <w:widowControl/>
              <w:suppressLineNumbers w:val="0"/>
              <w:spacing w:line="300" w:lineRule="atLeast"/>
              <w:ind w:left="0" w:firstLine="0"/>
              <w:jc w:val="left"/>
              <w:rPr>
                <w:rFonts w:hint="default" w:ascii="Segoe UI" w:hAnsi="Segoe UI" w:eastAsia="宋体" w:cs="Segoe UI"/>
                <w:i w:val="0"/>
                <w:iCs w:val="0"/>
                <w:caps w:val="0"/>
                <w:color w:val="auto"/>
                <w:spacing w:val="0"/>
                <w:sz w:val="21"/>
                <w:szCs w:val="21"/>
                <w:lang w:val="en-US" w:eastAsia="zh-CN"/>
              </w:rPr>
            </w:pPr>
            <w:r>
              <w:rPr>
                <w:rFonts w:hint="eastAsia" w:ascii="Segoe UI" w:hAnsi="Segoe UI" w:eastAsia="宋体" w:cs="Segoe UI"/>
                <w:i w:val="0"/>
                <w:iCs w:val="0"/>
                <w:caps w:val="0"/>
                <w:color w:val="auto"/>
                <w:spacing w:val="0"/>
                <w:sz w:val="21"/>
                <w:szCs w:val="21"/>
                <w:lang w:val="en-US" w:eastAsia="zh-CN"/>
              </w:rPr>
              <w:t>56</w:t>
            </w:r>
          </w:p>
        </w:tc>
        <w:tc>
          <w:tcPr>
            <w:tcW w:w="1164" w:type="pct"/>
            <w:shd w:val="clear" w:color="auto" w:fill="FFFFFF"/>
            <w:tcMar>
              <w:top w:w="135" w:type="dxa"/>
              <w:left w:w="270" w:type="dxa"/>
              <w:bottom w:w="135" w:type="dxa"/>
              <w:right w:w="270" w:type="dxa"/>
            </w:tcMar>
            <w:vAlign w:val="center"/>
          </w:tcPr>
          <w:p w14:paraId="39A179D9">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default" w:ascii="Segoe UI" w:hAnsi="Segoe UI" w:eastAsia="Segoe UI" w:cs="Segoe UI"/>
                <w:i w:val="0"/>
                <w:iCs w:val="0"/>
                <w:caps w:val="0"/>
                <w:color w:val="auto"/>
                <w:spacing w:val="0"/>
                <w:kern w:val="0"/>
                <w:sz w:val="21"/>
                <w:szCs w:val="21"/>
                <w:lang w:val="en-US" w:eastAsia="zh-CN" w:bidi="ar"/>
              </w:rPr>
              <w:t>医疗场景优先级清单</w:t>
            </w:r>
          </w:p>
        </w:tc>
      </w:tr>
      <w:tr w14:paraId="602C8F56">
        <w:tblPrEx>
          <w:tblBorders>
            <w:top w:val="none" w:color="auto" w:sz="0" w:space="0"/>
            <w:left w:val="none" w:color="auto" w:sz="0" w:space="0"/>
            <w:bottom w:val="single" w:color="D6D6D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51" w:type="pct"/>
            <w:vMerge w:val="continue"/>
            <w:tcBorders>
              <w:right w:val="single" w:color="D6D6D6" w:sz="6" w:space="0"/>
            </w:tcBorders>
            <w:shd w:val="clear" w:color="auto" w:fill="FFFFFF"/>
            <w:tcMar>
              <w:top w:w="135" w:type="dxa"/>
              <w:left w:w="270" w:type="dxa"/>
              <w:bottom w:w="135" w:type="dxa"/>
              <w:right w:w="270" w:type="dxa"/>
            </w:tcMar>
            <w:vAlign w:val="center"/>
          </w:tcPr>
          <w:p w14:paraId="677F31D8">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kern w:val="0"/>
                <w:sz w:val="21"/>
                <w:szCs w:val="21"/>
                <w:lang w:val="en-US" w:eastAsia="zh-CN" w:bidi="ar"/>
              </w:rPr>
            </w:pPr>
          </w:p>
        </w:tc>
        <w:tc>
          <w:tcPr>
            <w:tcW w:w="633"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5CDBB149">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default" w:ascii="Segoe UI" w:hAnsi="Segoe UI" w:eastAsia="Segoe UI" w:cs="Segoe UI"/>
                <w:i w:val="0"/>
                <w:iCs w:val="0"/>
                <w:caps w:val="0"/>
                <w:color w:val="auto"/>
                <w:spacing w:val="0"/>
                <w:kern w:val="0"/>
                <w:sz w:val="21"/>
                <w:szCs w:val="21"/>
                <w:lang w:val="en-US" w:eastAsia="zh-CN" w:bidi="ar"/>
              </w:rPr>
              <w:t>系统设计</w:t>
            </w:r>
          </w:p>
        </w:tc>
        <w:tc>
          <w:tcPr>
            <w:tcW w:w="839"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22FDE370">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eastAsia" w:ascii="Segoe UI" w:hAnsi="Segoe UI" w:eastAsia="Segoe UI" w:cs="Segoe UI"/>
                <w:i w:val="0"/>
                <w:iCs w:val="0"/>
                <w:caps w:val="0"/>
                <w:color w:val="auto"/>
                <w:spacing w:val="0"/>
                <w:kern w:val="0"/>
                <w:sz w:val="21"/>
                <w:szCs w:val="21"/>
                <w:lang w:val="en-US" w:eastAsia="zh-CN" w:bidi="ar"/>
              </w:rPr>
              <w:t>15</w:t>
            </w:r>
            <w:r>
              <w:rPr>
                <w:rFonts w:hint="default" w:ascii="Segoe UI" w:hAnsi="Segoe UI" w:eastAsia="Segoe UI" w:cs="Segoe UI"/>
                <w:i w:val="0"/>
                <w:iCs w:val="0"/>
                <w:caps w:val="0"/>
                <w:color w:val="auto"/>
                <w:spacing w:val="0"/>
                <w:kern w:val="0"/>
                <w:sz w:val="21"/>
                <w:szCs w:val="21"/>
                <w:lang w:val="en-US" w:eastAsia="zh-CN" w:bidi="ar"/>
              </w:rPr>
              <w:t>天</w:t>
            </w:r>
          </w:p>
        </w:tc>
        <w:tc>
          <w:tcPr>
            <w:tcW w:w="832"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7154D3D7">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eastAsia" w:ascii="Segoe UI" w:hAnsi="Segoe UI" w:eastAsia="Segoe UI" w:cs="Segoe UI"/>
                <w:i w:val="0"/>
                <w:iCs w:val="0"/>
                <w:caps w:val="0"/>
                <w:color w:val="auto"/>
                <w:spacing w:val="0"/>
                <w:kern w:val="0"/>
                <w:sz w:val="21"/>
                <w:szCs w:val="21"/>
                <w:lang w:val="en-US" w:eastAsia="zh-CN" w:bidi="ar"/>
              </w:rPr>
              <w:t>12</w:t>
            </w:r>
            <w:r>
              <w:rPr>
                <w:rFonts w:hint="default" w:ascii="Segoe UI" w:hAnsi="Segoe UI" w:eastAsia="Segoe UI" w:cs="Segoe UI"/>
                <w:i w:val="0"/>
                <w:iCs w:val="0"/>
                <w:caps w:val="0"/>
                <w:color w:val="auto"/>
                <w:spacing w:val="0"/>
                <w:kern w:val="0"/>
                <w:sz w:val="21"/>
                <w:szCs w:val="21"/>
                <w:lang w:val="en-US" w:eastAsia="zh-CN" w:bidi="ar"/>
              </w:rPr>
              <w:t>人</w:t>
            </w:r>
          </w:p>
        </w:tc>
        <w:tc>
          <w:tcPr>
            <w:tcW w:w="979"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644A9C9B">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default" w:ascii="Segoe UI" w:hAnsi="Segoe UI" w:eastAsia="Segoe UI" w:cs="Segoe UI"/>
                <w:i w:val="0"/>
                <w:iCs w:val="0"/>
                <w:caps w:val="0"/>
                <w:color w:val="auto"/>
                <w:spacing w:val="0"/>
                <w:kern w:val="0"/>
                <w:sz w:val="21"/>
                <w:szCs w:val="21"/>
                <w:lang w:val="en-US" w:eastAsia="zh-CN" w:bidi="ar"/>
              </w:rPr>
              <w:t>180</w:t>
            </w:r>
          </w:p>
        </w:tc>
        <w:tc>
          <w:tcPr>
            <w:tcW w:w="1164" w:type="pct"/>
            <w:shd w:val="clear" w:color="auto" w:fill="FFFFFF"/>
            <w:tcMar>
              <w:top w:w="135" w:type="dxa"/>
              <w:left w:w="270" w:type="dxa"/>
              <w:bottom w:w="135" w:type="dxa"/>
              <w:right w:w="270" w:type="dxa"/>
            </w:tcMar>
            <w:vAlign w:val="center"/>
          </w:tcPr>
          <w:p w14:paraId="1BDBD891">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default" w:ascii="Segoe UI" w:hAnsi="Segoe UI" w:eastAsia="Segoe UI" w:cs="Segoe UI"/>
                <w:i w:val="0"/>
                <w:iCs w:val="0"/>
                <w:caps w:val="0"/>
                <w:color w:val="auto"/>
                <w:spacing w:val="0"/>
                <w:kern w:val="0"/>
                <w:sz w:val="21"/>
                <w:szCs w:val="21"/>
                <w:lang w:val="en-US" w:eastAsia="zh-CN" w:bidi="ar"/>
              </w:rPr>
              <w:t>模型架构图、交互原型系统</w:t>
            </w:r>
          </w:p>
        </w:tc>
      </w:tr>
      <w:tr w14:paraId="1CD919D6">
        <w:tblPrEx>
          <w:tblBorders>
            <w:top w:val="none" w:color="auto" w:sz="0" w:space="0"/>
            <w:left w:val="none" w:color="auto" w:sz="0" w:space="0"/>
            <w:bottom w:val="single" w:color="D6D6D6" w:sz="6"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551" w:type="pct"/>
            <w:vMerge w:val="continue"/>
            <w:tcBorders>
              <w:right w:val="single" w:color="D6D6D6" w:sz="6" w:space="0"/>
            </w:tcBorders>
            <w:shd w:val="clear" w:color="auto" w:fill="FFFFFF"/>
            <w:tcMar>
              <w:top w:w="135" w:type="dxa"/>
              <w:left w:w="270" w:type="dxa"/>
              <w:bottom w:w="135" w:type="dxa"/>
              <w:right w:w="270" w:type="dxa"/>
            </w:tcMar>
            <w:vAlign w:val="center"/>
          </w:tcPr>
          <w:p w14:paraId="19B00E77">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kern w:val="0"/>
                <w:sz w:val="21"/>
                <w:szCs w:val="21"/>
                <w:lang w:val="en-US" w:eastAsia="zh-CN" w:bidi="ar"/>
              </w:rPr>
            </w:pPr>
          </w:p>
        </w:tc>
        <w:tc>
          <w:tcPr>
            <w:tcW w:w="633"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3789AF2B">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default" w:ascii="Segoe UI" w:hAnsi="Segoe UI" w:eastAsia="Segoe UI" w:cs="Segoe UI"/>
                <w:i w:val="0"/>
                <w:iCs w:val="0"/>
                <w:caps w:val="0"/>
                <w:color w:val="auto"/>
                <w:spacing w:val="0"/>
                <w:kern w:val="0"/>
                <w:sz w:val="21"/>
                <w:szCs w:val="21"/>
                <w:lang w:val="en-US" w:eastAsia="zh-CN" w:bidi="ar"/>
              </w:rPr>
              <w:t>研发与训练</w:t>
            </w:r>
          </w:p>
        </w:tc>
        <w:tc>
          <w:tcPr>
            <w:tcW w:w="839"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5DE0DFFE">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eastAsia" w:ascii="Segoe UI" w:hAnsi="Segoe UI" w:eastAsia="Segoe UI" w:cs="Segoe UI"/>
                <w:i w:val="0"/>
                <w:iCs w:val="0"/>
                <w:caps w:val="0"/>
                <w:color w:val="auto"/>
                <w:spacing w:val="0"/>
                <w:kern w:val="0"/>
                <w:sz w:val="21"/>
                <w:szCs w:val="21"/>
                <w:lang w:val="en-US" w:eastAsia="zh-CN" w:bidi="ar"/>
              </w:rPr>
              <w:t>50</w:t>
            </w:r>
            <w:r>
              <w:rPr>
                <w:rFonts w:hint="default" w:ascii="Segoe UI" w:hAnsi="Segoe UI" w:eastAsia="Segoe UI" w:cs="Segoe UI"/>
                <w:i w:val="0"/>
                <w:iCs w:val="0"/>
                <w:caps w:val="0"/>
                <w:color w:val="auto"/>
                <w:spacing w:val="0"/>
                <w:kern w:val="0"/>
                <w:sz w:val="21"/>
                <w:szCs w:val="21"/>
                <w:lang w:val="en-US" w:eastAsia="zh-CN" w:bidi="ar"/>
              </w:rPr>
              <w:t>天</w:t>
            </w:r>
          </w:p>
        </w:tc>
        <w:tc>
          <w:tcPr>
            <w:tcW w:w="832"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13BA078C">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eastAsia" w:ascii="Segoe UI" w:hAnsi="Segoe UI" w:eastAsia="Segoe UI" w:cs="Segoe UI"/>
                <w:i w:val="0"/>
                <w:iCs w:val="0"/>
                <w:caps w:val="0"/>
                <w:color w:val="auto"/>
                <w:spacing w:val="0"/>
                <w:kern w:val="0"/>
                <w:sz w:val="21"/>
                <w:szCs w:val="21"/>
                <w:lang w:val="en-US" w:eastAsia="zh-CN" w:bidi="ar"/>
              </w:rPr>
              <w:t>17</w:t>
            </w:r>
            <w:r>
              <w:rPr>
                <w:rFonts w:hint="default" w:ascii="Segoe UI" w:hAnsi="Segoe UI" w:eastAsia="Segoe UI" w:cs="Segoe UI"/>
                <w:i w:val="0"/>
                <w:iCs w:val="0"/>
                <w:caps w:val="0"/>
                <w:color w:val="auto"/>
                <w:spacing w:val="0"/>
                <w:kern w:val="0"/>
                <w:sz w:val="21"/>
                <w:szCs w:val="21"/>
                <w:lang w:val="en-US" w:eastAsia="zh-CN" w:bidi="ar"/>
              </w:rPr>
              <w:t>人</w:t>
            </w:r>
          </w:p>
        </w:tc>
        <w:tc>
          <w:tcPr>
            <w:tcW w:w="979"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7B2E504E">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lang w:val="en-US"/>
              </w:rPr>
            </w:pPr>
            <w:r>
              <w:rPr>
                <w:rFonts w:hint="eastAsia" w:ascii="Segoe UI" w:hAnsi="Segoe UI" w:eastAsia="Segoe UI" w:cs="Segoe UI"/>
                <w:i w:val="0"/>
                <w:iCs w:val="0"/>
                <w:caps w:val="0"/>
                <w:color w:val="auto"/>
                <w:spacing w:val="0"/>
                <w:kern w:val="0"/>
                <w:sz w:val="21"/>
                <w:szCs w:val="21"/>
                <w:lang w:val="en-US" w:eastAsia="zh-CN" w:bidi="ar"/>
              </w:rPr>
              <w:t>850</w:t>
            </w:r>
          </w:p>
        </w:tc>
        <w:tc>
          <w:tcPr>
            <w:tcW w:w="1164" w:type="pct"/>
            <w:shd w:val="clear" w:color="auto" w:fill="FFFFFF"/>
            <w:tcMar>
              <w:top w:w="135" w:type="dxa"/>
              <w:left w:w="270" w:type="dxa"/>
              <w:bottom w:w="135" w:type="dxa"/>
              <w:right w:w="270" w:type="dxa"/>
            </w:tcMar>
            <w:vAlign w:val="center"/>
          </w:tcPr>
          <w:p w14:paraId="5B8A0F09">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default" w:ascii="Segoe UI" w:hAnsi="Segoe UI" w:eastAsia="Segoe UI" w:cs="Segoe UI"/>
                <w:i w:val="0"/>
                <w:iCs w:val="0"/>
                <w:caps w:val="0"/>
                <w:color w:val="auto"/>
                <w:spacing w:val="0"/>
                <w:kern w:val="0"/>
                <w:sz w:val="21"/>
                <w:szCs w:val="21"/>
                <w:lang w:val="en-US" w:eastAsia="zh-CN" w:bidi="ar"/>
              </w:rPr>
              <w:t>微调后模型</w:t>
            </w:r>
          </w:p>
        </w:tc>
      </w:tr>
      <w:tr w14:paraId="68375F52">
        <w:tblPrEx>
          <w:tblBorders>
            <w:top w:val="none" w:color="auto" w:sz="0" w:space="0"/>
            <w:left w:val="none" w:color="auto" w:sz="0" w:space="0"/>
            <w:bottom w:val="single" w:color="D6D6D6" w:sz="6"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551" w:type="pct"/>
            <w:vMerge w:val="continue"/>
            <w:tcBorders>
              <w:right w:val="single" w:color="D6D6D6" w:sz="6" w:space="0"/>
            </w:tcBorders>
            <w:shd w:val="clear" w:color="auto" w:fill="FFFFFF"/>
            <w:tcMar>
              <w:top w:w="135" w:type="dxa"/>
              <w:left w:w="270" w:type="dxa"/>
              <w:bottom w:w="135" w:type="dxa"/>
              <w:right w:w="270" w:type="dxa"/>
            </w:tcMar>
            <w:vAlign w:val="center"/>
          </w:tcPr>
          <w:p w14:paraId="6352005C">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kern w:val="0"/>
                <w:sz w:val="21"/>
                <w:szCs w:val="21"/>
                <w:lang w:val="en-US" w:eastAsia="zh-CN" w:bidi="ar"/>
              </w:rPr>
            </w:pPr>
          </w:p>
        </w:tc>
        <w:tc>
          <w:tcPr>
            <w:tcW w:w="633"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5B03E7F5">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default" w:ascii="Segoe UI" w:hAnsi="Segoe UI" w:eastAsia="Segoe UI" w:cs="Segoe UI"/>
                <w:i w:val="0"/>
                <w:iCs w:val="0"/>
                <w:caps w:val="0"/>
                <w:color w:val="auto"/>
                <w:spacing w:val="0"/>
                <w:kern w:val="0"/>
                <w:sz w:val="21"/>
                <w:szCs w:val="21"/>
                <w:lang w:val="en-US" w:eastAsia="zh-CN" w:bidi="ar"/>
              </w:rPr>
              <w:t>测试与部署</w:t>
            </w:r>
          </w:p>
        </w:tc>
        <w:tc>
          <w:tcPr>
            <w:tcW w:w="839"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1E031465">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eastAsia" w:ascii="Segoe UI" w:hAnsi="Segoe UI" w:eastAsia="Segoe UI" w:cs="Segoe UI"/>
                <w:i w:val="0"/>
                <w:iCs w:val="0"/>
                <w:caps w:val="0"/>
                <w:color w:val="auto"/>
                <w:spacing w:val="0"/>
                <w:kern w:val="0"/>
                <w:sz w:val="21"/>
                <w:szCs w:val="21"/>
                <w:lang w:val="en-US" w:eastAsia="zh-CN" w:bidi="ar"/>
              </w:rPr>
              <w:t>8</w:t>
            </w:r>
            <w:r>
              <w:rPr>
                <w:rFonts w:hint="default" w:ascii="Segoe UI" w:hAnsi="Segoe UI" w:eastAsia="Segoe UI" w:cs="Segoe UI"/>
                <w:i w:val="0"/>
                <w:iCs w:val="0"/>
                <w:caps w:val="0"/>
                <w:color w:val="auto"/>
                <w:spacing w:val="0"/>
                <w:kern w:val="0"/>
                <w:sz w:val="21"/>
                <w:szCs w:val="21"/>
                <w:lang w:val="en-US" w:eastAsia="zh-CN" w:bidi="ar"/>
              </w:rPr>
              <w:t>天</w:t>
            </w:r>
          </w:p>
        </w:tc>
        <w:tc>
          <w:tcPr>
            <w:tcW w:w="832"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6B9FECC6">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eastAsia" w:ascii="Segoe UI" w:hAnsi="Segoe UI" w:eastAsia="Segoe UI" w:cs="Segoe UI"/>
                <w:i w:val="0"/>
                <w:iCs w:val="0"/>
                <w:caps w:val="0"/>
                <w:color w:val="auto"/>
                <w:spacing w:val="0"/>
                <w:kern w:val="0"/>
                <w:sz w:val="21"/>
                <w:szCs w:val="21"/>
                <w:lang w:val="en-US" w:eastAsia="zh-CN" w:bidi="ar"/>
              </w:rPr>
              <w:t>8</w:t>
            </w:r>
            <w:r>
              <w:rPr>
                <w:rFonts w:hint="default" w:ascii="Segoe UI" w:hAnsi="Segoe UI" w:eastAsia="Segoe UI" w:cs="Segoe UI"/>
                <w:i w:val="0"/>
                <w:iCs w:val="0"/>
                <w:caps w:val="0"/>
                <w:color w:val="auto"/>
                <w:spacing w:val="0"/>
                <w:kern w:val="0"/>
                <w:sz w:val="21"/>
                <w:szCs w:val="21"/>
                <w:lang w:val="en-US" w:eastAsia="zh-CN" w:bidi="ar"/>
              </w:rPr>
              <w:t>人</w:t>
            </w:r>
          </w:p>
        </w:tc>
        <w:tc>
          <w:tcPr>
            <w:tcW w:w="979"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1845C4E2">
            <w:pPr>
              <w:keepNext w:val="0"/>
              <w:keepLines w:val="0"/>
              <w:widowControl/>
              <w:suppressLineNumbers w:val="0"/>
              <w:spacing w:line="300" w:lineRule="atLeast"/>
              <w:ind w:left="0" w:firstLine="0"/>
              <w:jc w:val="left"/>
              <w:rPr>
                <w:rFonts w:hint="default" w:ascii="Segoe UI" w:hAnsi="Segoe UI" w:eastAsia="宋体" w:cs="Segoe UI"/>
                <w:i w:val="0"/>
                <w:iCs w:val="0"/>
                <w:caps w:val="0"/>
                <w:color w:val="auto"/>
                <w:spacing w:val="0"/>
                <w:sz w:val="21"/>
                <w:szCs w:val="21"/>
                <w:lang w:val="en-US" w:eastAsia="zh-CN"/>
              </w:rPr>
            </w:pPr>
            <w:r>
              <w:rPr>
                <w:rFonts w:hint="eastAsia" w:ascii="Segoe UI" w:hAnsi="Segoe UI" w:eastAsia="宋体" w:cs="Segoe UI"/>
                <w:i w:val="0"/>
                <w:iCs w:val="0"/>
                <w:caps w:val="0"/>
                <w:color w:val="auto"/>
                <w:spacing w:val="0"/>
                <w:sz w:val="21"/>
                <w:szCs w:val="21"/>
                <w:lang w:val="en-US" w:eastAsia="zh-CN"/>
              </w:rPr>
              <w:t>64</w:t>
            </w:r>
          </w:p>
        </w:tc>
        <w:tc>
          <w:tcPr>
            <w:tcW w:w="1164" w:type="pct"/>
            <w:shd w:val="clear" w:color="auto" w:fill="FFFFFF"/>
            <w:tcMar>
              <w:top w:w="135" w:type="dxa"/>
              <w:left w:w="270" w:type="dxa"/>
              <w:bottom w:w="135" w:type="dxa"/>
              <w:right w:w="270" w:type="dxa"/>
            </w:tcMar>
            <w:vAlign w:val="center"/>
          </w:tcPr>
          <w:p w14:paraId="375F8F8E">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default" w:ascii="Segoe UI" w:hAnsi="Segoe UI" w:eastAsia="Segoe UI" w:cs="Segoe UI"/>
                <w:i w:val="0"/>
                <w:iCs w:val="0"/>
                <w:caps w:val="0"/>
                <w:color w:val="auto"/>
                <w:spacing w:val="0"/>
                <w:kern w:val="0"/>
                <w:sz w:val="21"/>
                <w:szCs w:val="21"/>
                <w:lang w:val="en-US" w:eastAsia="zh-CN" w:bidi="ar"/>
              </w:rPr>
              <w:t>压力测试报告、部署手册</w:t>
            </w:r>
          </w:p>
        </w:tc>
      </w:tr>
      <w:tr w14:paraId="082897FA">
        <w:tblPrEx>
          <w:tblBorders>
            <w:top w:val="none" w:color="auto" w:sz="0" w:space="0"/>
            <w:left w:val="none" w:color="auto" w:sz="0" w:space="0"/>
            <w:bottom w:val="single" w:color="D6D6D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51" w:type="pct"/>
            <w:vMerge w:val="continue"/>
            <w:tcBorders>
              <w:right w:val="single" w:color="D6D6D6" w:sz="6" w:space="0"/>
            </w:tcBorders>
            <w:shd w:val="clear" w:color="auto" w:fill="FFFFFF"/>
            <w:tcMar>
              <w:top w:w="135" w:type="dxa"/>
              <w:left w:w="270" w:type="dxa"/>
              <w:bottom w:w="135" w:type="dxa"/>
              <w:right w:w="270" w:type="dxa"/>
            </w:tcMar>
            <w:vAlign w:val="center"/>
          </w:tcPr>
          <w:p w14:paraId="7713EFFB">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kern w:val="0"/>
                <w:sz w:val="21"/>
                <w:szCs w:val="21"/>
                <w:lang w:val="en-US" w:eastAsia="zh-CN" w:bidi="ar"/>
              </w:rPr>
            </w:pPr>
          </w:p>
        </w:tc>
        <w:tc>
          <w:tcPr>
            <w:tcW w:w="633"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25341D55">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default" w:ascii="Segoe UI" w:hAnsi="Segoe UI" w:eastAsia="Segoe UI" w:cs="Segoe UI"/>
                <w:i w:val="0"/>
                <w:iCs w:val="0"/>
                <w:caps w:val="0"/>
                <w:color w:val="auto"/>
                <w:spacing w:val="0"/>
                <w:kern w:val="0"/>
                <w:sz w:val="21"/>
                <w:szCs w:val="21"/>
                <w:lang w:val="en-US" w:eastAsia="zh-CN" w:bidi="ar"/>
              </w:rPr>
              <w:t>技术培训</w:t>
            </w:r>
          </w:p>
        </w:tc>
        <w:tc>
          <w:tcPr>
            <w:tcW w:w="839"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3A85E0CC">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eastAsia" w:ascii="Segoe UI" w:hAnsi="Segoe UI" w:eastAsia="Segoe UI" w:cs="Segoe UI"/>
                <w:i w:val="0"/>
                <w:iCs w:val="0"/>
                <w:caps w:val="0"/>
                <w:color w:val="auto"/>
                <w:spacing w:val="0"/>
                <w:kern w:val="0"/>
                <w:sz w:val="21"/>
                <w:szCs w:val="21"/>
                <w:lang w:val="en-US" w:eastAsia="zh-CN" w:bidi="ar"/>
              </w:rPr>
              <w:t>7</w:t>
            </w:r>
            <w:r>
              <w:rPr>
                <w:rFonts w:hint="default" w:ascii="Segoe UI" w:hAnsi="Segoe UI" w:eastAsia="Segoe UI" w:cs="Segoe UI"/>
                <w:i w:val="0"/>
                <w:iCs w:val="0"/>
                <w:caps w:val="0"/>
                <w:color w:val="auto"/>
                <w:spacing w:val="0"/>
                <w:kern w:val="0"/>
                <w:sz w:val="21"/>
                <w:szCs w:val="21"/>
                <w:lang w:val="en-US" w:eastAsia="zh-CN" w:bidi="ar"/>
              </w:rPr>
              <w:t>天</w:t>
            </w:r>
          </w:p>
        </w:tc>
        <w:tc>
          <w:tcPr>
            <w:tcW w:w="832"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5AA7BA37">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eastAsia" w:ascii="Segoe UI" w:hAnsi="Segoe UI" w:eastAsia="Segoe UI" w:cs="Segoe UI"/>
                <w:i w:val="0"/>
                <w:iCs w:val="0"/>
                <w:caps w:val="0"/>
                <w:color w:val="auto"/>
                <w:spacing w:val="0"/>
                <w:kern w:val="0"/>
                <w:sz w:val="21"/>
                <w:szCs w:val="21"/>
                <w:lang w:val="en-US" w:eastAsia="zh-CN" w:bidi="ar"/>
              </w:rPr>
              <w:t>5</w:t>
            </w:r>
            <w:r>
              <w:rPr>
                <w:rFonts w:hint="default" w:ascii="Segoe UI" w:hAnsi="Segoe UI" w:eastAsia="Segoe UI" w:cs="Segoe UI"/>
                <w:i w:val="0"/>
                <w:iCs w:val="0"/>
                <w:caps w:val="0"/>
                <w:color w:val="auto"/>
                <w:spacing w:val="0"/>
                <w:kern w:val="0"/>
                <w:sz w:val="21"/>
                <w:szCs w:val="21"/>
                <w:lang w:val="en-US" w:eastAsia="zh-CN" w:bidi="ar"/>
              </w:rPr>
              <w:t>人</w:t>
            </w:r>
          </w:p>
        </w:tc>
        <w:tc>
          <w:tcPr>
            <w:tcW w:w="979"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152D528C">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lang w:val="en-US"/>
              </w:rPr>
            </w:pPr>
            <w:r>
              <w:rPr>
                <w:rFonts w:hint="eastAsia" w:ascii="Segoe UI" w:hAnsi="Segoe UI" w:eastAsia="Segoe UI" w:cs="Segoe UI"/>
                <w:i w:val="0"/>
                <w:iCs w:val="0"/>
                <w:caps w:val="0"/>
                <w:color w:val="auto"/>
                <w:spacing w:val="0"/>
                <w:kern w:val="0"/>
                <w:sz w:val="21"/>
                <w:szCs w:val="21"/>
                <w:lang w:val="en-US" w:eastAsia="zh-CN" w:bidi="ar"/>
              </w:rPr>
              <w:t>35</w:t>
            </w:r>
          </w:p>
        </w:tc>
        <w:tc>
          <w:tcPr>
            <w:tcW w:w="1164" w:type="pct"/>
            <w:shd w:val="clear" w:color="auto" w:fill="FFFFFF"/>
            <w:tcMar>
              <w:top w:w="135" w:type="dxa"/>
              <w:left w:w="270" w:type="dxa"/>
              <w:bottom w:w="135" w:type="dxa"/>
              <w:right w:w="270" w:type="dxa"/>
            </w:tcMar>
            <w:vAlign w:val="center"/>
          </w:tcPr>
          <w:p w14:paraId="26ECBD90">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lang w:val="en-US"/>
              </w:rPr>
            </w:pPr>
            <w:r>
              <w:rPr>
                <w:rFonts w:hint="default" w:ascii="Segoe UI" w:hAnsi="Segoe UI" w:eastAsia="Segoe UI" w:cs="Segoe UI"/>
                <w:i w:val="0"/>
                <w:iCs w:val="0"/>
                <w:caps w:val="0"/>
                <w:color w:val="auto"/>
                <w:spacing w:val="0"/>
                <w:kern w:val="0"/>
                <w:sz w:val="21"/>
                <w:szCs w:val="21"/>
                <w:lang w:val="en-US" w:eastAsia="zh-CN" w:bidi="ar"/>
              </w:rPr>
              <w:t>操作</w:t>
            </w:r>
            <w:r>
              <w:rPr>
                <w:rFonts w:hint="eastAsia" w:ascii="Segoe UI" w:hAnsi="Segoe UI" w:eastAsia="Segoe UI" w:cs="Segoe UI"/>
                <w:i w:val="0"/>
                <w:iCs w:val="0"/>
                <w:caps w:val="0"/>
                <w:color w:val="auto"/>
                <w:spacing w:val="0"/>
                <w:kern w:val="0"/>
                <w:sz w:val="21"/>
                <w:szCs w:val="21"/>
                <w:lang w:val="en-US" w:eastAsia="zh-CN" w:bidi="ar"/>
              </w:rPr>
              <w:t>手册</w:t>
            </w:r>
          </w:p>
        </w:tc>
      </w:tr>
      <w:tr w14:paraId="176BE4AD">
        <w:tblPrEx>
          <w:tblBorders>
            <w:top w:val="none" w:color="auto" w:sz="0" w:space="0"/>
            <w:left w:val="none" w:color="auto" w:sz="0" w:space="0"/>
            <w:bottom w:val="single" w:color="D6D6D6" w:sz="6"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551" w:type="pct"/>
            <w:vMerge w:val="continue"/>
            <w:tcBorders>
              <w:bottom w:val="nil"/>
              <w:right w:val="single" w:color="D6D6D6" w:sz="6" w:space="0"/>
            </w:tcBorders>
            <w:shd w:val="clear" w:color="auto" w:fill="FFFFFF"/>
            <w:tcMar>
              <w:top w:w="135" w:type="dxa"/>
              <w:left w:w="270" w:type="dxa"/>
              <w:bottom w:w="135" w:type="dxa"/>
              <w:right w:w="270" w:type="dxa"/>
            </w:tcMar>
            <w:vAlign w:val="center"/>
          </w:tcPr>
          <w:p w14:paraId="49C50C5D">
            <w:pPr>
              <w:keepNext w:val="0"/>
              <w:keepLines w:val="0"/>
              <w:widowControl/>
              <w:suppressLineNumbers w:val="0"/>
              <w:spacing w:line="300" w:lineRule="atLeast"/>
              <w:ind w:left="0" w:firstLine="0"/>
              <w:jc w:val="left"/>
              <w:rPr>
                <w:rFonts w:hint="eastAsia" w:ascii="Segoe UI" w:hAnsi="Segoe UI" w:eastAsia="Segoe UI" w:cs="Segoe UI"/>
                <w:i w:val="0"/>
                <w:iCs w:val="0"/>
                <w:caps w:val="0"/>
                <w:color w:val="auto"/>
                <w:spacing w:val="0"/>
                <w:kern w:val="0"/>
                <w:sz w:val="21"/>
                <w:szCs w:val="21"/>
                <w:lang w:val="en-US" w:eastAsia="zh-CN" w:bidi="ar"/>
              </w:rPr>
            </w:pPr>
          </w:p>
        </w:tc>
        <w:tc>
          <w:tcPr>
            <w:tcW w:w="633"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15937064">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kern w:val="0"/>
                <w:sz w:val="21"/>
                <w:szCs w:val="21"/>
                <w:lang w:val="en-US" w:eastAsia="zh-CN" w:bidi="ar"/>
              </w:rPr>
            </w:pPr>
            <w:r>
              <w:rPr>
                <w:rFonts w:hint="eastAsia" w:ascii="Segoe UI" w:hAnsi="Segoe UI" w:eastAsia="Segoe UI" w:cs="Segoe UI"/>
                <w:i w:val="0"/>
                <w:iCs w:val="0"/>
                <w:caps w:val="0"/>
                <w:color w:val="auto"/>
                <w:spacing w:val="0"/>
                <w:kern w:val="0"/>
                <w:sz w:val="21"/>
                <w:szCs w:val="21"/>
                <w:lang w:val="en-US" w:eastAsia="zh-CN" w:bidi="ar"/>
              </w:rPr>
              <w:t>技术指导</w:t>
            </w:r>
          </w:p>
        </w:tc>
        <w:tc>
          <w:tcPr>
            <w:tcW w:w="839"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423140E4">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kern w:val="0"/>
                <w:sz w:val="21"/>
                <w:szCs w:val="21"/>
                <w:lang w:val="en-US" w:eastAsia="zh-CN" w:bidi="ar"/>
              </w:rPr>
            </w:pPr>
            <w:r>
              <w:rPr>
                <w:rFonts w:hint="eastAsia" w:ascii="Segoe UI" w:hAnsi="Segoe UI" w:eastAsia="Segoe UI" w:cs="Segoe UI"/>
                <w:i w:val="0"/>
                <w:iCs w:val="0"/>
                <w:caps w:val="0"/>
                <w:color w:val="auto"/>
                <w:spacing w:val="0"/>
                <w:kern w:val="0"/>
                <w:sz w:val="21"/>
                <w:szCs w:val="21"/>
                <w:lang w:val="en-US" w:eastAsia="zh-CN" w:bidi="ar"/>
              </w:rPr>
              <w:t>全程</w:t>
            </w:r>
          </w:p>
        </w:tc>
        <w:tc>
          <w:tcPr>
            <w:tcW w:w="832"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760678D4">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kern w:val="0"/>
                <w:sz w:val="21"/>
                <w:szCs w:val="21"/>
                <w:lang w:val="en-US" w:eastAsia="zh-CN" w:bidi="ar"/>
              </w:rPr>
            </w:pPr>
            <w:r>
              <w:rPr>
                <w:rFonts w:hint="eastAsia" w:ascii="Segoe UI" w:hAnsi="Segoe UI" w:eastAsia="Segoe UI" w:cs="Segoe UI"/>
                <w:i w:val="0"/>
                <w:iCs w:val="0"/>
                <w:caps w:val="0"/>
                <w:color w:val="auto"/>
                <w:spacing w:val="0"/>
                <w:kern w:val="0"/>
                <w:sz w:val="21"/>
                <w:szCs w:val="21"/>
                <w:lang w:val="en-US" w:eastAsia="zh-CN" w:bidi="ar"/>
              </w:rPr>
              <w:t>4人</w:t>
            </w:r>
          </w:p>
        </w:tc>
        <w:tc>
          <w:tcPr>
            <w:tcW w:w="979"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600F7B25">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kern w:val="0"/>
                <w:sz w:val="21"/>
                <w:szCs w:val="21"/>
                <w:lang w:val="en-US" w:eastAsia="zh-CN" w:bidi="ar"/>
              </w:rPr>
            </w:pPr>
            <w:r>
              <w:rPr>
                <w:rFonts w:hint="eastAsia" w:ascii="Segoe UI" w:hAnsi="Segoe UI" w:eastAsia="Segoe UI" w:cs="Segoe UI"/>
                <w:i w:val="0"/>
                <w:iCs w:val="0"/>
                <w:caps w:val="0"/>
                <w:color w:val="auto"/>
                <w:spacing w:val="0"/>
                <w:kern w:val="0"/>
                <w:sz w:val="21"/>
                <w:szCs w:val="21"/>
                <w:lang w:val="en-US" w:eastAsia="zh-CN" w:bidi="ar"/>
              </w:rPr>
              <w:t>360</w:t>
            </w:r>
          </w:p>
        </w:tc>
        <w:tc>
          <w:tcPr>
            <w:tcW w:w="1164" w:type="pct"/>
            <w:shd w:val="clear" w:color="auto" w:fill="FFFFFF"/>
            <w:tcMar>
              <w:top w:w="135" w:type="dxa"/>
              <w:left w:w="270" w:type="dxa"/>
              <w:bottom w:w="135" w:type="dxa"/>
              <w:right w:w="270" w:type="dxa"/>
            </w:tcMar>
            <w:vAlign w:val="center"/>
          </w:tcPr>
          <w:p w14:paraId="6A7A34F8">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kern w:val="0"/>
                <w:sz w:val="21"/>
                <w:szCs w:val="21"/>
                <w:lang w:val="en-US" w:eastAsia="zh-CN" w:bidi="ar"/>
              </w:rPr>
            </w:pPr>
          </w:p>
        </w:tc>
      </w:tr>
      <w:tr w14:paraId="2BBA9711">
        <w:tblPrEx>
          <w:tblBorders>
            <w:top w:val="none" w:color="auto" w:sz="0" w:space="0"/>
            <w:left w:val="none" w:color="auto" w:sz="0" w:space="0"/>
            <w:bottom w:val="single" w:color="D6D6D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51" w:type="pct"/>
            <w:vMerge w:val="restart"/>
            <w:tcBorders>
              <w:top w:val="nil"/>
              <w:right w:val="single" w:color="D6D6D6" w:sz="6" w:space="0"/>
            </w:tcBorders>
            <w:shd w:val="clear" w:color="auto" w:fill="FFFFFF"/>
            <w:tcMar>
              <w:top w:w="135" w:type="dxa"/>
              <w:left w:w="270" w:type="dxa"/>
              <w:bottom w:w="135" w:type="dxa"/>
              <w:right w:w="270" w:type="dxa"/>
            </w:tcMar>
            <w:vAlign w:val="center"/>
          </w:tcPr>
          <w:p w14:paraId="241730B1">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kern w:val="0"/>
                <w:sz w:val="21"/>
                <w:szCs w:val="21"/>
                <w:lang w:val="en-US" w:eastAsia="zh-CN" w:bidi="ar"/>
              </w:rPr>
            </w:pPr>
            <w:r>
              <w:rPr>
                <w:rFonts w:hint="eastAsia" w:ascii="Segoe UI" w:hAnsi="Segoe UI" w:eastAsia="Segoe UI" w:cs="Segoe UI"/>
                <w:i w:val="0"/>
                <w:iCs w:val="0"/>
                <w:caps w:val="0"/>
                <w:color w:val="auto"/>
                <w:spacing w:val="0"/>
                <w:kern w:val="0"/>
                <w:sz w:val="21"/>
                <w:szCs w:val="21"/>
                <w:lang w:val="en-US" w:eastAsia="zh-CN" w:bidi="ar"/>
              </w:rPr>
              <w:t>技术能力建设与提升（9个月）</w:t>
            </w:r>
          </w:p>
        </w:tc>
        <w:tc>
          <w:tcPr>
            <w:tcW w:w="633"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5E12F3F0">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lang w:val="en-US"/>
              </w:rPr>
            </w:pPr>
            <w:r>
              <w:rPr>
                <w:rFonts w:hint="eastAsia" w:ascii="Segoe UI" w:hAnsi="Segoe UI" w:eastAsia="Segoe UI" w:cs="Segoe UI"/>
                <w:i w:val="0"/>
                <w:iCs w:val="0"/>
                <w:caps w:val="0"/>
                <w:color w:val="auto"/>
                <w:spacing w:val="0"/>
                <w:kern w:val="0"/>
                <w:sz w:val="21"/>
                <w:szCs w:val="21"/>
                <w:lang w:val="en-US" w:eastAsia="zh-CN" w:bidi="ar"/>
              </w:rPr>
              <w:t>功能迭代优化</w:t>
            </w:r>
          </w:p>
        </w:tc>
        <w:tc>
          <w:tcPr>
            <w:tcW w:w="839"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3A10930B">
            <w:pPr>
              <w:keepNext w:val="0"/>
              <w:keepLines w:val="0"/>
              <w:widowControl/>
              <w:suppressLineNumbers w:val="0"/>
              <w:spacing w:line="300" w:lineRule="atLeast"/>
              <w:ind w:left="0" w:firstLine="0"/>
              <w:jc w:val="left"/>
              <w:rPr>
                <w:rFonts w:hint="default" w:ascii="Segoe UI" w:hAnsi="Segoe UI" w:eastAsia="宋体" w:cs="Segoe UI"/>
                <w:i w:val="0"/>
                <w:iCs w:val="0"/>
                <w:caps w:val="0"/>
                <w:color w:val="auto"/>
                <w:spacing w:val="0"/>
                <w:sz w:val="21"/>
                <w:szCs w:val="21"/>
                <w:lang w:val="en-US" w:eastAsia="zh-CN"/>
              </w:rPr>
            </w:pPr>
            <w:r>
              <w:rPr>
                <w:rFonts w:hint="eastAsia" w:ascii="Segoe UI" w:hAnsi="Segoe UI" w:eastAsia="宋体" w:cs="Segoe UI"/>
                <w:i w:val="0"/>
                <w:iCs w:val="0"/>
                <w:caps w:val="0"/>
                <w:color w:val="auto"/>
                <w:spacing w:val="0"/>
                <w:sz w:val="21"/>
                <w:szCs w:val="21"/>
                <w:lang w:val="en-US" w:eastAsia="zh-CN"/>
              </w:rPr>
              <w:t>270天</w:t>
            </w:r>
          </w:p>
        </w:tc>
        <w:tc>
          <w:tcPr>
            <w:tcW w:w="832"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67408554">
            <w:pPr>
              <w:keepNext w:val="0"/>
              <w:keepLines w:val="0"/>
              <w:widowControl/>
              <w:suppressLineNumbers w:val="0"/>
              <w:spacing w:line="300" w:lineRule="atLeast"/>
              <w:ind w:left="0" w:firstLine="0"/>
              <w:jc w:val="left"/>
              <w:rPr>
                <w:rFonts w:hint="default" w:ascii="Segoe UI" w:hAnsi="Segoe UI" w:eastAsia="宋体" w:cs="Segoe UI"/>
                <w:i w:val="0"/>
                <w:iCs w:val="0"/>
                <w:caps w:val="0"/>
                <w:color w:val="auto"/>
                <w:spacing w:val="0"/>
                <w:sz w:val="21"/>
                <w:szCs w:val="21"/>
                <w:lang w:val="en-US" w:eastAsia="zh-CN"/>
              </w:rPr>
            </w:pPr>
            <w:r>
              <w:rPr>
                <w:rFonts w:hint="eastAsia" w:ascii="Segoe UI" w:hAnsi="Segoe UI" w:eastAsia="宋体" w:cs="Segoe UI"/>
                <w:i w:val="0"/>
                <w:iCs w:val="0"/>
                <w:caps w:val="0"/>
                <w:color w:val="auto"/>
                <w:spacing w:val="0"/>
                <w:sz w:val="21"/>
                <w:szCs w:val="21"/>
                <w:lang w:val="en-US" w:eastAsia="zh-CN"/>
              </w:rPr>
              <w:t>5人</w:t>
            </w:r>
          </w:p>
        </w:tc>
        <w:tc>
          <w:tcPr>
            <w:tcW w:w="979"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3B0969F8">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lang w:val="en-US"/>
              </w:rPr>
            </w:pPr>
            <w:r>
              <w:rPr>
                <w:rFonts w:hint="eastAsia" w:ascii="Segoe UI" w:hAnsi="Segoe UI" w:eastAsia="Segoe UI" w:cs="Segoe UI"/>
                <w:i w:val="0"/>
                <w:iCs w:val="0"/>
                <w:caps w:val="0"/>
                <w:color w:val="auto"/>
                <w:spacing w:val="0"/>
                <w:kern w:val="0"/>
                <w:sz w:val="21"/>
                <w:szCs w:val="21"/>
                <w:lang w:val="en-US" w:eastAsia="zh-CN" w:bidi="ar"/>
              </w:rPr>
              <w:t>1350</w:t>
            </w:r>
          </w:p>
        </w:tc>
        <w:tc>
          <w:tcPr>
            <w:tcW w:w="1164" w:type="pct"/>
            <w:shd w:val="clear" w:color="auto" w:fill="FFFFFF"/>
            <w:tcMar>
              <w:top w:w="135" w:type="dxa"/>
              <w:left w:w="270" w:type="dxa"/>
              <w:bottom w:w="135" w:type="dxa"/>
              <w:right w:w="270" w:type="dxa"/>
            </w:tcMar>
            <w:vAlign w:val="center"/>
          </w:tcPr>
          <w:p w14:paraId="701944F6">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default" w:ascii="Segoe UI" w:hAnsi="Segoe UI" w:eastAsia="Segoe UI" w:cs="Segoe UI"/>
                <w:i w:val="0"/>
                <w:iCs w:val="0"/>
                <w:caps w:val="0"/>
                <w:color w:val="auto"/>
                <w:spacing w:val="0"/>
                <w:kern w:val="0"/>
                <w:sz w:val="21"/>
                <w:szCs w:val="21"/>
                <w:lang w:val="en-US" w:eastAsia="zh-CN" w:bidi="ar"/>
              </w:rPr>
              <w:t>技术决策日志、优化建议书</w:t>
            </w:r>
          </w:p>
        </w:tc>
      </w:tr>
      <w:tr w14:paraId="6F253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51" w:type="pct"/>
            <w:vMerge w:val="continue"/>
            <w:tcBorders>
              <w:bottom w:val="nil"/>
              <w:right w:val="single" w:color="D6D6D6" w:sz="6" w:space="0"/>
            </w:tcBorders>
            <w:shd w:val="clear" w:color="auto" w:fill="FFFFFF"/>
            <w:tcMar>
              <w:top w:w="135" w:type="dxa"/>
              <w:left w:w="270" w:type="dxa"/>
              <w:bottom w:w="135" w:type="dxa"/>
              <w:right w:w="270" w:type="dxa"/>
            </w:tcMar>
            <w:vAlign w:val="center"/>
          </w:tcPr>
          <w:p w14:paraId="5C766CE7">
            <w:pPr>
              <w:keepNext w:val="0"/>
              <w:keepLines w:val="0"/>
              <w:widowControl/>
              <w:suppressLineNumbers w:val="0"/>
              <w:spacing w:line="300" w:lineRule="atLeast"/>
              <w:ind w:left="0" w:firstLine="0"/>
              <w:jc w:val="left"/>
              <w:rPr>
                <w:rStyle w:val="18"/>
                <w:rFonts w:hint="default" w:ascii="Segoe UI" w:hAnsi="Segoe UI" w:eastAsia="Segoe UI" w:cs="Segoe UI"/>
                <w:b/>
                <w:bCs/>
                <w:i w:val="0"/>
                <w:iCs w:val="0"/>
                <w:caps w:val="0"/>
                <w:color w:val="auto"/>
                <w:spacing w:val="0"/>
                <w:kern w:val="0"/>
                <w:sz w:val="21"/>
                <w:szCs w:val="21"/>
                <w:lang w:val="en-US" w:eastAsia="zh-CN" w:bidi="ar"/>
              </w:rPr>
            </w:pPr>
          </w:p>
        </w:tc>
        <w:tc>
          <w:tcPr>
            <w:tcW w:w="633"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0449FE58">
            <w:pPr>
              <w:keepNext w:val="0"/>
              <w:keepLines w:val="0"/>
              <w:widowControl/>
              <w:suppressLineNumbers w:val="0"/>
              <w:spacing w:line="300" w:lineRule="atLeast"/>
              <w:ind w:left="0" w:firstLine="0"/>
              <w:jc w:val="left"/>
              <w:rPr>
                <w:rStyle w:val="18"/>
                <w:rFonts w:hint="default" w:ascii="Segoe UI" w:hAnsi="Segoe UI" w:eastAsia="Segoe UI" w:cs="Segoe UI"/>
                <w:b/>
                <w:bCs/>
                <w:i w:val="0"/>
                <w:iCs w:val="0"/>
                <w:caps w:val="0"/>
                <w:color w:val="auto"/>
                <w:spacing w:val="0"/>
                <w:kern w:val="0"/>
                <w:sz w:val="21"/>
                <w:szCs w:val="21"/>
                <w:lang w:val="en-US" w:eastAsia="zh-CN" w:bidi="ar"/>
              </w:rPr>
            </w:pPr>
            <w:r>
              <w:rPr>
                <w:rStyle w:val="18"/>
                <w:rFonts w:hint="eastAsia" w:ascii="Segoe UI" w:hAnsi="Segoe UI" w:eastAsia="Segoe UI" w:cs="Segoe UI"/>
                <w:b w:val="0"/>
                <w:bCs w:val="0"/>
                <w:i w:val="0"/>
                <w:iCs w:val="0"/>
                <w:caps w:val="0"/>
                <w:color w:val="auto"/>
                <w:spacing w:val="0"/>
                <w:kern w:val="0"/>
                <w:sz w:val="21"/>
                <w:szCs w:val="21"/>
                <w:lang w:val="en-US" w:eastAsia="zh-CN" w:bidi="ar"/>
              </w:rPr>
              <w:t>技术指导</w:t>
            </w:r>
          </w:p>
        </w:tc>
        <w:tc>
          <w:tcPr>
            <w:tcW w:w="839"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11CEA41A">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kern w:val="0"/>
                <w:sz w:val="21"/>
                <w:szCs w:val="21"/>
                <w:lang w:val="en-US" w:eastAsia="zh-CN" w:bidi="ar"/>
              </w:rPr>
            </w:pPr>
            <w:r>
              <w:rPr>
                <w:rFonts w:hint="eastAsia" w:ascii="Segoe UI" w:hAnsi="Segoe UI" w:eastAsia="Segoe UI" w:cs="Segoe UI"/>
                <w:i w:val="0"/>
                <w:iCs w:val="0"/>
                <w:caps w:val="0"/>
                <w:color w:val="auto"/>
                <w:spacing w:val="0"/>
                <w:kern w:val="0"/>
                <w:sz w:val="21"/>
                <w:szCs w:val="21"/>
                <w:lang w:val="en-US" w:eastAsia="zh-CN" w:bidi="ar"/>
              </w:rPr>
              <w:t>全程</w:t>
            </w:r>
          </w:p>
        </w:tc>
        <w:tc>
          <w:tcPr>
            <w:tcW w:w="832"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321F27AA">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kern w:val="0"/>
                <w:sz w:val="21"/>
                <w:szCs w:val="21"/>
                <w:lang w:val="en-US" w:eastAsia="zh-CN" w:bidi="ar"/>
              </w:rPr>
            </w:pPr>
            <w:r>
              <w:rPr>
                <w:rFonts w:hint="eastAsia" w:ascii="Segoe UI" w:hAnsi="Segoe UI" w:eastAsia="Segoe UI" w:cs="Segoe UI"/>
                <w:i w:val="0"/>
                <w:iCs w:val="0"/>
                <w:caps w:val="0"/>
                <w:color w:val="auto"/>
                <w:spacing w:val="0"/>
                <w:kern w:val="0"/>
                <w:sz w:val="21"/>
                <w:szCs w:val="21"/>
                <w:lang w:val="en-US" w:eastAsia="zh-CN" w:bidi="ar"/>
              </w:rPr>
              <w:t>4人</w:t>
            </w:r>
          </w:p>
        </w:tc>
        <w:tc>
          <w:tcPr>
            <w:tcW w:w="979"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77570460">
            <w:pPr>
              <w:keepNext w:val="0"/>
              <w:keepLines w:val="0"/>
              <w:widowControl/>
              <w:suppressLineNumbers w:val="0"/>
              <w:spacing w:line="300" w:lineRule="atLeast"/>
              <w:ind w:left="0" w:firstLine="0"/>
              <w:jc w:val="left"/>
              <w:rPr>
                <w:rStyle w:val="18"/>
                <w:rFonts w:hint="default" w:ascii="Segoe UI" w:hAnsi="Segoe UI" w:eastAsia="Segoe UI" w:cs="Segoe UI"/>
                <w:b w:val="0"/>
                <w:bCs w:val="0"/>
                <w:i w:val="0"/>
                <w:iCs w:val="0"/>
                <w:caps w:val="0"/>
                <w:color w:val="auto"/>
                <w:spacing w:val="0"/>
                <w:kern w:val="0"/>
                <w:sz w:val="21"/>
                <w:szCs w:val="21"/>
                <w:lang w:val="en-US" w:eastAsia="zh-CN" w:bidi="ar"/>
              </w:rPr>
            </w:pPr>
            <w:r>
              <w:rPr>
                <w:rStyle w:val="18"/>
                <w:rFonts w:hint="eastAsia" w:ascii="Segoe UI" w:hAnsi="Segoe UI" w:eastAsia="Segoe UI" w:cs="Segoe UI"/>
                <w:b w:val="0"/>
                <w:bCs w:val="0"/>
                <w:i w:val="0"/>
                <w:iCs w:val="0"/>
                <w:caps w:val="0"/>
                <w:color w:val="auto"/>
                <w:spacing w:val="0"/>
                <w:kern w:val="0"/>
                <w:sz w:val="21"/>
                <w:szCs w:val="21"/>
                <w:lang w:val="en-US" w:eastAsia="zh-CN" w:bidi="ar"/>
              </w:rPr>
              <w:t>805</w:t>
            </w:r>
          </w:p>
        </w:tc>
        <w:tc>
          <w:tcPr>
            <w:tcW w:w="1164" w:type="pct"/>
            <w:shd w:val="clear" w:color="auto" w:fill="FFFFFF"/>
            <w:tcMar>
              <w:top w:w="135" w:type="dxa"/>
              <w:left w:w="270" w:type="dxa"/>
              <w:bottom w:w="135" w:type="dxa"/>
              <w:right w:w="270" w:type="dxa"/>
            </w:tcMar>
            <w:vAlign w:val="center"/>
          </w:tcPr>
          <w:p w14:paraId="2384BDBC">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kern w:val="0"/>
                <w:sz w:val="21"/>
                <w:szCs w:val="21"/>
                <w:lang w:val="en-US" w:eastAsia="zh-CN" w:bidi="ar"/>
              </w:rPr>
            </w:pPr>
          </w:p>
        </w:tc>
      </w:tr>
      <w:tr w14:paraId="3C42E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51" w:type="pct"/>
            <w:tcBorders>
              <w:top w:val="nil"/>
              <w:right w:val="single" w:color="D6D6D6" w:sz="6" w:space="0"/>
            </w:tcBorders>
            <w:shd w:val="clear" w:color="auto" w:fill="FFFFFF"/>
            <w:tcMar>
              <w:top w:w="135" w:type="dxa"/>
              <w:left w:w="270" w:type="dxa"/>
              <w:bottom w:w="135" w:type="dxa"/>
              <w:right w:w="270" w:type="dxa"/>
            </w:tcMar>
            <w:vAlign w:val="center"/>
          </w:tcPr>
          <w:p w14:paraId="77521CDE">
            <w:pPr>
              <w:keepNext w:val="0"/>
              <w:keepLines w:val="0"/>
              <w:widowControl/>
              <w:suppressLineNumbers w:val="0"/>
              <w:spacing w:line="300" w:lineRule="atLeast"/>
              <w:ind w:left="0" w:firstLine="0"/>
              <w:jc w:val="left"/>
              <w:rPr>
                <w:rStyle w:val="18"/>
                <w:rFonts w:hint="default" w:ascii="Segoe UI" w:hAnsi="Segoe UI" w:eastAsia="Segoe UI" w:cs="Segoe UI"/>
                <w:b/>
                <w:bCs/>
                <w:i w:val="0"/>
                <w:iCs w:val="0"/>
                <w:caps w:val="0"/>
                <w:color w:val="auto"/>
                <w:spacing w:val="0"/>
                <w:kern w:val="0"/>
                <w:sz w:val="21"/>
                <w:szCs w:val="21"/>
                <w:lang w:val="en-US" w:eastAsia="zh-CN" w:bidi="ar"/>
              </w:rPr>
            </w:pPr>
            <w:r>
              <w:rPr>
                <w:rStyle w:val="18"/>
                <w:rFonts w:hint="eastAsia" w:ascii="Segoe UI" w:hAnsi="Segoe UI" w:eastAsia="Segoe UI" w:cs="Segoe UI"/>
                <w:b w:val="0"/>
                <w:bCs w:val="0"/>
                <w:i w:val="0"/>
                <w:iCs w:val="0"/>
                <w:caps w:val="0"/>
                <w:color w:val="auto"/>
                <w:spacing w:val="0"/>
                <w:kern w:val="0"/>
                <w:sz w:val="21"/>
                <w:szCs w:val="21"/>
                <w:lang w:val="en-US" w:eastAsia="zh-CN" w:bidi="ar"/>
              </w:rPr>
              <w:t>科研合作</w:t>
            </w:r>
          </w:p>
        </w:tc>
        <w:tc>
          <w:tcPr>
            <w:tcW w:w="633"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008B909E">
            <w:pPr>
              <w:keepNext w:val="0"/>
              <w:keepLines w:val="0"/>
              <w:widowControl/>
              <w:suppressLineNumbers w:val="0"/>
              <w:spacing w:line="300" w:lineRule="atLeast"/>
              <w:ind w:left="0" w:firstLine="0"/>
              <w:jc w:val="left"/>
              <w:rPr>
                <w:rStyle w:val="18"/>
                <w:rFonts w:hint="default" w:ascii="Segoe UI" w:hAnsi="Segoe UI" w:eastAsia="Segoe UI" w:cs="Segoe UI"/>
                <w:b w:val="0"/>
                <w:bCs w:val="0"/>
                <w:i w:val="0"/>
                <w:iCs w:val="0"/>
                <w:caps w:val="0"/>
                <w:color w:val="auto"/>
                <w:spacing w:val="0"/>
                <w:kern w:val="0"/>
                <w:sz w:val="21"/>
                <w:szCs w:val="21"/>
                <w:lang w:val="en-US" w:eastAsia="zh-CN" w:bidi="ar"/>
              </w:rPr>
            </w:pPr>
            <w:r>
              <w:rPr>
                <w:rStyle w:val="18"/>
                <w:rFonts w:hint="eastAsia" w:ascii="Segoe UI" w:hAnsi="Segoe UI" w:eastAsia="Segoe UI" w:cs="Segoe UI"/>
                <w:b w:val="0"/>
                <w:bCs w:val="0"/>
                <w:i w:val="0"/>
                <w:iCs w:val="0"/>
                <w:caps w:val="0"/>
                <w:color w:val="auto"/>
                <w:spacing w:val="0"/>
                <w:kern w:val="0"/>
                <w:sz w:val="21"/>
                <w:szCs w:val="21"/>
                <w:lang w:val="en-US" w:eastAsia="zh-CN" w:bidi="ar"/>
              </w:rPr>
              <w:t>技术指导</w:t>
            </w:r>
          </w:p>
        </w:tc>
        <w:tc>
          <w:tcPr>
            <w:tcW w:w="839"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49F709A1">
            <w:pPr>
              <w:keepNext w:val="0"/>
              <w:keepLines w:val="0"/>
              <w:widowControl/>
              <w:suppressLineNumbers w:val="0"/>
              <w:spacing w:line="300" w:lineRule="atLeast"/>
              <w:ind w:left="0" w:firstLine="0"/>
              <w:jc w:val="left"/>
              <w:rPr>
                <w:rFonts w:hint="default" w:ascii="Segoe UI" w:hAnsi="Segoe UI" w:eastAsia="Segoe UI" w:cs="Segoe UI"/>
                <w:b w:val="0"/>
                <w:bCs w:val="0"/>
                <w:i w:val="0"/>
                <w:iCs w:val="0"/>
                <w:caps w:val="0"/>
                <w:color w:val="auto"/>
                <w:spacing w:val="0"/>
                <w:kern w:val="0"/>
                <w:sz w:val="21"/>
                <w:szCs w:val="21"/>
                <w:lang w:val="en-US" w:eastAsia="zh-CN" w:bidi="ar"/>
              </w:rPr>
            </w:pPr>
            <w:r>
              <w:rPr>
                <w:rFonts w:hint="eastAsia" w:ascii="Segoe UI" w:hAnsi="Segoe UI" w:eastAsia="Segoe UI" w:cs="Segoe UI"/>
                <w:b w:val="0"/>
                <w:bCs w:val="0"/>
                <w:i w:val="0"/>
                <w:iCs w:val="0"/>
                <w:caps w:val="0"/>
                <w:color w:val="auto"/>
                <w:spacing w:val="0"/>
                <w:kern w:val="0"/>
                <w:sz w:val="21"/>
                <w:szCs w:val="21"/>
                <w:lang w:val="en-US" w:eastAsia="zh-CN" w:bidi="ar"/>
              </w:rPr>
              <w:t>全程</w:t>
            </w:r>
          </w:p>
        </w:tc>
        <w:tc>
          <w:tcPr>
            <w:tcW w:w="832"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38A85A38">
            <w:pPr>
              <w:keepNext w:val="0"/>
              <w:keepLines w:val="0"/>
              <w:widowControl/>
              <w:suppressLineNumbers w:val="0"/>
              <w:spacing w:line="300" w:lineRule="atLeast"/>
              <w:ind w:left="0" w:firstLine="0"/>
              <w:jc w:val="left"/>
              <w:rPr>
                <w:rFonts w:hint="default" w:ascii="Segoe UI" w:hAnsi="Segoe UI" w:eastAsia="Segoe UI" w:cs="Segoe UI"/>
                <w:b w:val="0"/>
                <w:bCs w:val="0"/>
                <w:i w:val="0"/>
                <w:iCs w:val="0"/>
                <w:caps w:val="0"/>
                <w:color w:val="auto"/>
                <w:spacing w:val="0"/>
                <w:kern w:val="0"/>
                <w:sz w:val="21"/>
                <w:szCs w:val="21"/>
                <w:lang w:val="en-US" w:eastAsia="zh-CN" w:bidi="ar"/>
              </w:rPr>
            </w:pPr>
            <w:r>
              <w:rPr>
                <w:rFonts w:hint="eastAsia" w:ascii="Segoe UI" w:hAnsi="Segoe UI" w:eastAsia="Segoe UI" w:cs="Segoe UI"/>
                <w:b w:val="0"/>
                <w:bCs w:val="0"/>
                <w:i w:val="0"/>
                <w:iCs w:val="0"/>
                <w:caps w:val="0"/>
                <w:color w:val="auto"/>
                <w:spacing w:val="0"/>
                <w:kern w:val="0"/>
                <w:sz w:val="21"/>
                <w:szCs w:val="21"/>
                <w:lang w:val="en-US" w:eastAsia="zh-CN" w:bidi="ar"/>
              </w:rPr>
              <w:t>-</w:t>
            </w:r>
          </w:p>
        </w:tc>
        <w:tc>
          <w:tcPr>
            <w:tcW w:w="979"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0FDD20C4">
            <w:pPr>
              <w:keepNext w:val="0"/>
              <w:keepLines w:val="0"/>
              <w:widowControl/>
              <w:suppressLineNumbers w:val="0"/>
              <w:spacing w:line="300" w:lineRule="atLeast"/>
              <w:ind w:left="0" w:firstLine="0"/>
              <w:jc w:val="left"/>
              <w:rPr>
                <w:rStyle w:val="18"/>
                <w:rFonts w:hint="default" w:ascii="Segoe UI" w:hAnsi="Segoe UI" w:eastAsia="Segoe UI" w:cs="Segoe UI"/>
                <w:b w:val="0"/>
                <w:bCs w:val="0"/>
                <w:i w:val="0"/>
                <w:iCs w:val="0"/>
                <w:caps w:val="0"/>
                <w:color w:val="auto"/>
                <w:spacing w:val="0"/>
                <w:kern w:val="0"/>
                <w:sz w:val="21"/>
                <w:szCs w:val="21"/>
                <w:lang w:val="en-US" w:eastAsia="zh-CN" w:bidi="ar"/>
              </w:rPr>
            </w:pPr>
            <w:r>
              <w:rPr>
                <w:rStyle w:val="18"/>
                <w:rFonts w:hint="eastAsia" w:ascii="Segoe UI" w:hAnsi="Segoe UI" w:eastAsia="Segoe UI" w:cs="Segoe UI"/>
                <w:b w:val="0"/>
                <w:bCs w:val="0"/>
                <w:i w:val="0"/>
                <w:iCs w:val="0"/>
                <w:caps w:val="0"/>
                <w:color w:val="auto"/>
                <w:spacing w:val="0"/>
                <w:kern w:val="0"/>
                <w:sz w:val="21"/>
                <w:szCs w:val="21"/>
                <w:lang w:val="en-US" w:eastAsia="zh-CN" w:bidi="ar"/>
              </w:rPr>
              <w:t>-</w:t>
            </w:r>
          </w:p>
        </w:tc>
        <w:tc>
          <w:tcPr>
            <w:tcW w:w="1164" w:type="pct"/>
            <w:shd w:val="clear" w:color="auto" w:fill="FFFFFF"/>
            <w:tcMar>
              <w:top w:w="135" w:type="dxa"/>
              <w:left w:w="270" w:type="dxa"/>
              <w:bottom w:w="135" w:type="dxa"/>
              <w:right w:w="270" w:type="dxa"/>
            </w:tcMar>
            <w:vAlign w:val="center"/>
          </w:tcPr>
          <w:p w14:paraId="661AED96">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kern w:val="0"/>
                <w:sz w:val="21"/>
                <w:szCs w:val="21"/>
                <w:lang w:val="en-US" w:eastAsia="zh-CN" w:bidi="ar"/>
              </w:rPr>
            </w:pPr>
          </w:p>
        </w:tc>
      </w:tr>
      <w:tr w14:paraId="16DAB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51"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39E4580E">
            <w:pPr>
              <w:keepNext w:val="0"/>
              <w:keepLines w:val="0"/>
              <w:widowControl/>
              <w:suppressLineNumbers w:val="0"/>
              <w:spacing w:line="300" w:lineRule="atLeast"/>
              <w:ind w:left="0" w:firstLine="0"/>
              <w:jc w:val="left"/>
              <w:rPr>
                <w:rStyle w:val="18"/>
                <w:rFonts w:hint="default" w:ascii="Segoe UI" w:hAnsi="Segoe UI" w:eastAsia="Segoe UI" w:cs="Segoe UI"/>
                <w:b/>
                <w:bCs/>
                <w:i w:val="0"/>
                <w:iCs w:val="0"/>
                <w:caps w:val="0"/>
                <w:color w:val="auto"/>
                <w:spacing w:val="0"/>
                <w:kern w:val="0"/>
                <w:sz w:val="21"/>
                <w:szCs w:val="21"/>
                <w:lang w:val="en-US" w:eastAsia="zh-CN" w:bidi="ar"/>
              </w:rPr>
            </w:pPr>
          </w:p>
        </w:tc>
        <w:tc>
          <w:tcPr>
            <w:tcW w:w="633"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4CE50BD7">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Style w:val="18"/>
                <w:rFonts w:hint="default" w:ascii="Segoe UI" w:hAnsi="Segoe UI" w:eastAsia="Segoe UI" w:cs="Segoe UI"/>
                <w:b/>
                <w:bCs/>
                <w:i w:val="0"/>
                <w:iCs w:val="0"/>
                <w:caps w:val="0"/>
                <w:color w:val="auto"/>
                <w:spacing w:val="0"/>
                <w:kern w:val="0"/>
                <w:sz w:val="21"/>
                <w:szCs w:val="21"/>
                <w:lang w:val="en-US" w:eastAsia="zh-CN" w:bidi="ar"/>
              </w:rPr>
              <w:t>总计</w:t>
            </w:r>
          </w:p>
        </w:tc>
        <w:tc>
          <w:tcPr>
            <w:tcW w:w="839"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62F05D89">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eastAsia" w:ascii="Segoe UI" w:hAnsi="Segoe UI" w:eastAsia="Segoe UI" w:cs="Segoe UI"/>
                <w:i w:val="0"/>
                <w:iCs w:val="0"/>
                <w:caps w:val="0"/>
                <w:color w:val="auto"/>
                <w:spacing w:val="0"/>
                <w:kern w:val="0"/>
                <w:sz w:val="21"/>
                <w:szCs w:val="21"/>
                <w:lang w:val="en-US" w:eastAsia="zh-CN" w:bidi="ar"/>
              </w:rPr>
              <w:t>720</w:t>
            </w:r>
            <w:r>
              <w:rPr>
                <w:rFonts w:hint="default" w:ascii="Segoe UI" w:hAnsi="Segoe UI" w:eastAsia="Segoe UI" w:cs="Segoe UI"/>
                <w:i w:val="0"/>
                <w:iCs w:val="0"/>
                <w:caps w:val="0"/>
                <w:color w:val="auto"/>
                <w:spacing w:val="0"/>
                <w:kern w:val="0"/>
                <w:sz w:val="21"/>
                <w:szCs w:val="21"/>
                <w:lang w:val="en-US" w:eastAsia="zh-CN" w:bidi="ar"/>
              </w:rPr>
              <w:t>天</w:t>
            </w:r>
          </w:p>
        </w:tc>
        <w:tc>
          <w:tcPr>
            <w:tcW w:w="832"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0C3B4420">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default" w:ascii="Segoe UI" w:hAnsi="Segoe UI" w:eastAsia="Segoe UI" w:cs="Segoe UI"/>
                <w:i w:val="0"/>
                <w:iCs w:val="0"/>
                <w:caps w:val="0"/>
                <w:color w:val="auto"/>
                <w:spacing w:val="0"/>
                <w:kern w:val="0"/>
                <w:sz w:val="21"/>
                <w:szCs w:val="21"/>
                <w:lang w:val="en-US" w:eastAsia="zh-CN" w:bidi="ar"/>
              </w:rPr>
              <w:t>-</w:t>
            </w:r>
          </w:p>
        </w:tc>
        <w:tc>
          <w:tcPr>
            <w:tcW w:w="979" w:type="pct"/>
            <w:tcBorders>
              <w:top w:val="nil"/>
              <w:bottom w:val="nil"/>
              <w:right w:val="single" w:color="D6D6D6" w:sz="6" w:space="0"/>
            </w:tcBorders>
            <w:shd w:val="clear" w:color="auto" w:fill="FFFFFF"/>
            <w:tcMar>
              <w:top w:w="135" w:type="dxa"/>
              <w:left w:w="270" w:type="dxa"/>
              <w:bottom w:w="135" w:type="dxa"/>
              <w:right w:w="270" w:type="dxa"/>
            </w:tcMar>
            <w:vAlign w:val="center"/>
          </w:tcPr>
          <w:p w14:paraId="5645F16A">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Style w:val="18"/>
                <w:rFonts w:hint="eastAsia" w:ascii="Segoe UI" w:hAnsi="Segoe UI" w:eastAsia="Segoe UI" w:cs="Segoe UI"/>
                <w:b/>
                <w:bCs/>
                <w:i w:val="0"/>
                <w:iCs w:val="0"/>
                <w:caps w:val="0"/>
                <w:color w:val="auto"/>
                <w:spacing w:val="0"/>
                <w:kern w:val="0"/>
                <w:sz w:val="21"/>
                <w:szCs w:val="21"/>
                <w:lang w:val="en-US" w:eastAsia="zh-CN" w:bidi="ar"/>
              </w:rPr>
              <w:t>3700</w:t>
            </w:r>
            <w:r>
              <w:rPr>
                <w:rStyle w:val="18"/>
                <w:rFonts w:hint="default" w:ascii="Segoe UI" w:hAnsi="Segoe UI" w:eastAsia="Segoe UI" w:cs="Segoe UI"/>
                <w:b/>
                <w:bCs/>
                <w:i w:val="0"/>
                <w:iCs w:val="0"/>
                <w:caps w:val="0"/>
                <w:color w:val="auto"/>
                <w:spacing w:val="0"/>
                <w:kern w:val="0"/>
                <w:sz w:val="21"/>
                <w:szCs w:val="21"/>
                <w:lang w:val="en-US" w:eastAsia="zh-CN" w:bidi="ar"/>
              </w:rPr>
              <w:t>人天</w:t>
            </w:r>
          </w:p>
        </w:tc>
        <w:tc>
          <w:tcPr>
            <w:tcW w:w="1164" w:type="pct"/>
            <w:shd w:val="clear" w:color="auto" w:fill="FFFFFF"/>
            <w:tcMar>
              <w:top w:w="135" w:type="dxa"/>
              <w:left w:w="270" w:type="dxa"/>
              <w:bottom w:w="135" w:type="dxa"/>
              <w:right w:w="270" w:type="dxa"/>
            </w:tcMar>
            <w:vAlign w:val="center"/>
          </w:tcPr>
          <w:p w14:paraId="7BFA0919">
            <w:pPr>
              <w:keepNext w:val="0"/>
              <w:keepLines w:val="0"/>
              <w:widowControl/>
              <w:suppressLineNumbers w:val="0"/>
              <w:spacing w:line="300" w:lineRule="atLeast"/>
              <w:ind w:left="0" w:firstLine="0"/>
              <w:jc w:val="left"/>
              <w:rPr>
                <w:rFonts w:hint="default" w:ascii="Segoe UI" w:hAnsi="Segoe UI" w:eastAsia="Segoe UI" w:cs="Segoe UI"/>
                <w:i w:val="0"/>
                <w:iCs w:val="0"/>
                <w:caps w:val="0"/>
                <w:color w:val="auto"/>
                <w:spacing w:val="0"/>
                <w:sz w:val="21"/>
                <w:szCs w:val="21"/>
              </w:rPr>
            </w:pPr>
            <w:r>
              <w:rPr>
                <w:rFonts w:hint="default" w:ascii="Segoe UI" w:hAnsi="Segoe UI" w:eastAsia="Segoe UI" w:cs="Segoe UI"/>
                <w:i w:val="0"/>
                <w:iCs w:val="0"/>
                <w:caps w:val="0"/>
                <w:color w:val="auto"/>
                <w:spacing w:val="0"/>
                <w:kern w:val="0"/>
                <w:sz w:val="21"/>
                <w:szCs w:val="21"/>
                <w:lang w:val="en-US" w:eastAsia="zh-CN" w:bidi="ar"/>
              </w:rPr>
              <w:t>-</w:t>
            </w:r>
          </w:p>
        </w:tc>
      </w:tr>
    </w:tbl>
    <w:p w14:paraId="3FB02587">
      <w:pPr>
        <w:numPr>
          <w:ilvl w:val="0"/>
          <w:numId w:val="0"/>
        </w:numPr>
        <w:ind w:leftChars="0"/>
        <w:rPr>
          <w:rFonts w:hint="default"/>
          <w:color w:val="auto"/>
          <w:lang w:val="en-US" w:eastAsia="zh-CN"/>
        </w:rPr>
      </w:pPr>
    </w:p>
    <w:p w14:paraId="23DC0E2A">
      <w:pPr>
        <w:keepNext w:val="0"/>
        <w:keepLines w:val="0"/>
        <w:widowControl/>
        <w:suppressLineNumbers w:val="0"/>
        <w:shd w:val="clear" w:fill="FFFFFF"/>
        <w:ind w:left="0" w:firstLine="0"/>
        <w:jc w:val="left"/>
        <w:rPr>
          <w:rFonts w:hint="default" w:ascii="Segoe UI" w:hAnsi="Segoe UI" w:eastAsia="Segoe UI" w:cs="Segoe UI"/>
          <w:i w:val="0"/>
          <w:iCs w:val="0"/>
          <w:caps w:val="0"/>
          <w:color w:val="auto"/>
          <w:spacing w:val="0"/>
          <w:sz w:val="24"/>
          <w:szCs w:val="24"/>
        </w:rPr>
      </w:pPr>
      <w:r>
        <w:rPr>
          <w:color w:val="auto"/>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6CC92059">
      <w:pPr>
        <w:widowControl w:val="0"/>
        <w:numPr>
          <w:ilvl w:val="0"/>
          <w:numId w:val="0"/>
        </w:numPr>
        <w:spacing w:line="360" w:lineRule="auto"/>
        <w:jc w:val="left"/>
        <w:rPr>
          <w:rFonts w:hint="eastAsia" w:ascii="仿宋" w:hAnsi="仿宋" w:eastAsia="仿宋" w:cs="仿宋"/>
          <w:color w:val="auto"/>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A53546CD-1C6C-41BC-831D-881D42D5B3F1}"/>
  </w:font>
  <w:font w:name="Segoe UI">
    <w:panose1 w:val="020B0502040204020203"/>
    <w:charset w:val="00"/>
    <w:family w:val="auto"/>
    <w:pitch w:val="default"/>
    <w:sig w:usb0="E4002EFF" w:usb1="C000E47F" w:usb2="00000009" w:usb3="00000000" w:csb0="200001FF" w:csb1="00000000"/>
    <w:embedRegular r:id="rId2" w:fontKey="{44D124B2-C91E-42CF-98B0-09ED7AA7656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3B6DB"/>
    <w:multiLevelType w:val="multilevel"/>
    <w:tmpl w:val="99E3B6DB"/>
    <w:lvl w:ilvl="0" w:tentative="0">
      <w:start w:val="1"/>
      <w:numFmt w:val="chineseCounting"/>
      <w:pStyle w:val="2"/>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1">
    <w:nsid w:val="B712B322"/>
    <w:multiLevelType w:val="singleLevel"/>
    <w:tmpl w:val="B712B322"/>
    <w:lvl w:ilvl="0" w:tentative="0">
      <w:start w:val="1"/>
      <w:numFmt w:val="decimal"/>
      <w:suff w:val="space"/>
      <w:lvlText w:val="(%1)"/>
      <w:lvlJc w:val="left"/>
    </w:lvl>
  </w:abstractNum>
  <w:abstractNum w:abstractNumId="2">
    <w:nsid w:val="D1C48477"/>
    <w:multiLevelType w:val="multilevel"/>
    <w:tmpl w:val="D1C48477"/>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DFCEFC1F"/>
    <w:multiLevelType w:val="singleLevel"/>
    <w:tmpl w:val="DFCEFC1F"/>
    <w:lvl w:ilvl="0" w:tentative="0">
      <w:start w:val="1"/>
      <w:numFmt w:val="decimal"/>
      <w:suff w:val="nothing"/>
      <w:lvlText w:val="（%1）"/>
      <w:lvlJc w:val="left"/>
    </w:lvl>
  </w:abstractNum>
  <w:abstractNum w:abstractNumId="4">
    <w:nsid w:val="E253079E"/>
    <w:multiLevelType w:val="singleLevel"/>
    <w:tmpl w:val="E253079E"/>
    <w:lvl w:ilvl="0" w:tentative="0">
      <w:start w:val="1"/>
      <w:numFmt w:val="decimal"/>
      <w:lvlText w:val="%1."/>
      <w:lvlJc w:val="left"/>
      <w:pPr>
        <w:tabs>
          <w:tab w:val="left" w:pos="312"/>
        </w:tabs>
      </w:pPr>
    </w:lvl>
  </w:abstractNum>
  <w:abstractNum w:abstractNumId="5">
    <w:nsid w:val="E4D2BC9C"/>
    <w:multiLevelType w:val="singleLevel"/>
    <w:tmpl w:val="E4D2BC9C"/>
    <w:lvl w:ilvl="0" w:tentative="0">
      <w:start w:val="1"/>
      <w:numFmt w:val="decimal"/>
      <w:lvlText w:val="%1)"/>
      <w:lvlJc w:val="left"/>
      <w:pPr>
        <w:tabs>
          <w:tab w:val="left" w:pos="420"/>
        </w:tabs>
        <w:ind w:left="845" w:hanging="425"/>
      </w:pPr>
      <w:rPr>
        <w:rFonts w:hint="default"/>
      </w:rPr>
    </w:lvl>
  </w:abstractNum>
  <w:abstractNum w:abstractNumId="6">
    <w:nsid w:val="00000005"/>
    <w:multiLevelType w:val="singleLevel"/>
    <w:tmpl w:val="00000005"/>
    <w:lvl w:ilvl="0" w:tentative="0">
      <w:start w:val="1"/>
      <w:numFmt w:val="chineseCountingThousand"/>
      <w:suff w:val="nothing"/>
      <w:lvlText w:val="（%1）"/>
      <w:lvlJc w:val="left"/>
      <w:pPr>
        <w:ind w:left="0" w:firstLine="0"/>
      </w:pPr>
    </w:lvl>
  </w:abstractNum>
  <w:abstractNum w:abstractNumId="7">
    <w:nsid w:val="01B29477"/>
    <w:multiLevelType w:val="singleLevel"/>
    <w:tmpl w:val="01B29477"/>
    <w:lvl w:ilvl="0" w:tentative="0">
      <w:start w:val="1"/>
      <w:numFmt w:val="chineseCounting"/>
      <w:suff w:val="nothing"/>
      <w:lvlText w:val="%1、"/>
      <w:lvlJc w:val="left"/>
      <w:pPr>
        <w:ind w:left="0" w:firstLine="420"/>
      </w:pPr>
      <w:rPr>
        <w:rFonts w:hint="eastAsia"/>
      </w:rPr>
    </w:lvl>
  </w:abstractNum>
  <w:abstractNum w:abstractNumId="8">
    <w:nsid w:val="79A1D4B8"/>
    <w:multiLevelType w:val="singleLevel"/>
    <w:tmpl w:val="79A1D4B8"/>
    <w:lvl w:ilvl="0" w:tentative="0">
      <w:start w:val="1"/>
      <w:numFmt w:val="chineseCountingThousand"/>
      <w:suff w:val="nothing"/>
      <w:lvlText w:val="（%1）"/>
      <w:lvlJc w:val="left"/>
      <w:pPr>
        <w:ind w:left="0" w:firstLine="0"/>
      </w:pPr>
    </w:lvl>
  </w:abstractNum>
  <w:num w:numId="1">
    <w:abstractNumId w:val="0"/>
  </w:num>
  <w:num w:numId="2">
    <w:abstractNumId w:val="7"/>
  </w:num>
  <w:num w:numId="3">
    <w:abstractNumId w:val="6"/>
  </w:num>
  <w:num w:numId="4">
    <w:abstractNumId w:val="5"/>
  </w:num>
  <w:num w:numId="5">
    <w:abstractNumId w:val="8"/>
  </w:num>
  <w:num w:numId="6">
    <w:abstractNumId w:val="3"/>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E5FAE"/>
    <w:rsid w:val="070E499B"/>
    <w:rsid w:val="07EC593C"/>
    <w:rsid w:val="0DC066C4"/>
    <w:rsid w:val="0EAF7927"/>
    <w:rsid w:val="0FE45294"/>
    <w:rsid w:val="19A5401F"/>
    <w:rsid w:val="1ADE2600"/>
    <w:rsid w:val="2CBA792E"/>
    <w:rsid w:val="2F9FCB39"/>
    <w:rsid w:val="3C1F0447"/>
    <w:rsid w:val="414842A1"/>
    <w:rsid w:val="458A3131"/>
    <w:rsid w:val="4F5D5052"/>
    <w:rsid w:val="52050D75"/>
    <w:rsid w:val="540E5FAE"/>
    <w:rsid w:val="56631BA1"/>
    <w:rsid w:val="578E3F73"/>
    <w:rsid w:val="5A2C3338"/>
    <w:rsid w:val="5F741258"/>
    <w:rsid w:val="60006A8C"/>
    <w:rsid w:val="6D1B7405"/>
    <w:rsid w:val="6F8B5211"/>
    <w:rsid w:val="7EA344C1"/>
    <w:rsid w:val="DDEBFFD8"/>
    <w:rsid w:val="F33D7A7A"/>
    <w:rsid w:val="F7FF8269"/>
    <w:rsid w:val="F9EBD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qFormat/>
    <w:uiPriority w:val="0"/>
    <w:pPr>
      <w:keepNext/>
      <w:keepLines/>
      <w:numPr>
        <w:ilvl w:val="0"/>
        <w:numId w:val="1"/>
      </w:numPr>
      <w:spacing w:before="240" w:beforeLines="0" w:after="240" w:afterLines="0" w:line="480" w:lineRule="auto"/>
      <w:ind w:left="432" w:hanging="432" w:firstLineChars="0"/>
      <w:jc w:val="left"/>
      <w:outlineLvl w:val="0"/>
    </w:pPr>
    <w:rPr>
      <w:rFonts w:eastAsia="黑体" w:asciiTheme="minorAscii" w:hAnsiTheme="minorAscii"/>
      <w:kern w:val="44"/>
    </w:rPr>
  </w:style>
  <w:style w:type="paragraph" w:styleId="4">
    <w:name w:val="heading 2"/>
    <w:basedOn w:val="1"/>
    <w:next w:val="1"/>
    <w:semiHidden/>
    <w:unhideWhenUsed/>
    <w:qFormat/>
    <w:uiPriority w:val="0"/>
    <w:pPr>
      <w:numPr>
        <w:ilvl w:val="1"/>
        <w:numId w:val="1"/>
      </w:numPr>
      <w:adjustRightInd w:val="0"/>
      <w:spacing w:before="120" w:after="120" w:line="360" w:lineRule="auto"/>
      <w:ind w:left="575" w:hanging="575"/>
      <w:outlineLvl w:val="1"/>
    </w:pPr>
    <w:rPr>
      <w:rFonts w:ascii="Arial" w:hAnsi="Arial" w:eastAsia="黑体"/>
      <w:sz w:val="30"/>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7">
    <w:name w:val="Default Paragraph Font"/>
    <w:autoRedefine/>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2">
    <w:name w:val="annotation text"/>
    <w:basedOn w:val="1"/>
    <w:qFormat/>
    <w:uiPriority w:val="0"/>
    <w:pPr>
      <w:jc w:val="left"/>
    </w:pPr>
  </w:style>
  <w:style w:type="paragraph" w:styleId="13">
    <w:name w:val="Body Text"/>
    <w:basedOn w:val="1"/>
    <w:qFormat/>
    <w:uiPriority w:val="99"/>
    <w:rPr>
      <w:szCs w:val="21"/>
    </w:rPr>
  </w:style>
  <w:style w:type="paragraph" w:styleId="14">
    <w:name w:val="Normal (Web)"/>
    <w:basedOn w:val="1"/>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Emphasis"/>
    <w:basedOn w:val="17"/>
    <w:qFormat/>
    <w:uiPriority w:val="0"/>
    <w:rPr>
      <w:i/>
    </w:rPr>
  </w:style>
  <w:style w:type="paragraph" w:styleId="20">
    <w:name w:val="List Paragraph"/>
    <w:basedOn w:val="1"/>
    <w:qFormat/>
    <w:uiPriority w:val="34"/>
    <w:pPr>
      <w:ind w:left="720"/>
      <w:contextualSpacing/>
    </w:pPr>
  </w:style>
  <w:style w:type="paragraph" w:customStyle="1" w:styleId="2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1653</Words>
  <Characters>1712</Characters>
  <Lines>0</Lines>
  <Paragraphs>0</Paragraphs>
  <TotalTime>19</TotalTime>
  <ScaleCrop>false</ScaleCrop>
  <LinksUpToDate>false</LinksUpToDate>
  <CharactersWithSpaces>1714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2025-03-05T07:31:00Z</dcterms:created>
  <dc:creator>树獭</dc:creator>
  <cp:lastModifiedBy>兵哥</cp:lastModifiedBy>
  <dcterms:modified xsi:type="dcterms:W3CDTF">2025-03-05T03:48:27Z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13DCC3977A794515A915E91248B98EA6_13</vt:lpwstr>
  </property>
  <property fmtid="{D5CDD505-2E9C-101B-9397-08002B2CF9AE}" pid="4" name="KSOTemplateDocerSaveRecord">
    <vt:lpwstr>eyJoZGlkIjoiMDhkNjc1MjUzNDQyMDYyMzdiNGEwYzkwNjE3NDNlYjciLCJ1c2VySWQiOiI0MzM0MzQ5MTcifQ==</vt:lpwstr>
  </property>
</Properties>
</file>